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5943600" cy="1289649"/>
            <wp:effectExtent b="0" l="0" r="0" t="0"/>
            <wp:docPr descr="Medplum" title="" id="21" name="Picture"/>
            <a:graphic>
              <a:graphicData uri="http://schemas.openxmlformats.org/drawingml/2006/picture">
                <pic:pic>
                  <pic:nvPicPr>
                    <pic:cNvPr descr="medplum-wordmark-grape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96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9" w:name="rcm-billing-decision-guide"/>
    <w:p>
      <w:pPr>
        <w:pStyle w:val="Heading1"/>
      </w:pPr>
      <w:r>
        <w:t xml:space="preserve">RCM &amp; Billing Decision Guide</w:t>
      </w:r>
    </w:p>
    <w:p>
      <w:pPr>
        <w:pStyle w:val="FirstParagraph"/>
      </w:pPr>
      <w:r>
        <w:rPr>
          <w:iCs/>
          <w:i/>
        </w:rPr>
        <w:t xml:space="preserve">Companion to the</w:t>
      </w:r>
      <w:r>
        <w:rPr>
          <w:iCs/>
          <w:i/>
        </w:rPr>
        <w:t xml:space="preserve"> </w:t>
      </w:r>
      <w:hyperlink r:id="rId23">
        <w:r>
          <w:rPr>
            <w:rStyle w:val="Hyperlink"/>
            <w:iCs/>
            <w:i/>
          </w:rPr>
          <w:t xml:space="preserve">Billing</w:t>
        </w:r>
      </w:hyperlink>
      <w:r>
        <w:rPr>
          <w:iCs/>
          <w:i/>
        </w:rPr>
        <w:t xml:space="preserve"> </w:t>
      </w:r>
      <w:r>
        <w:rPr>
          <w:iCs/>
          <w:i/>
        </w:rPr>
        <w:t xml:space="preserve">docs.</w:t>
      </w:r>
    </w:p>
    <w:bookmarkStart w:id="24" w:name="section-1-use-case-participants"/>
    <w:p>
      <w:pPr>
        <w:pStyle w:val="Heading2"/>
      </w:pPr>
      <w:r>
        <w:t xml:space="preserve">Section 1: Use Case &amp; Participants</w:t>
      </w:r>
    </w:p>
    <w:p>
      <w:pPr>
        <w:pStyle w:val="FirstParagraph"/>
      </w:pPr>
      <w:r>
        <w:rPr>
          <w:bCs/>
          <w:b/>
        </w:rPr>
        <w:t xml:space="preserve">1.1 What is your reimbursement model?</w:t>
      </w:r>
    </w:p>
    <w:p>
      <w:pPr>
        <w:numPr>
          <w:ilvl w:val="0"/>
          <w:numId w:val="1001"/>
        </w:numPr>
        <w:pStyle w:val="Compact"/>
      </w:pPr>
      <w:r>
        <w:t xml:space="preserve">Insurance / claims-based – you bill payers and reconcile their responses</w:t>
      </w:r>
    </w:p>
    <w:p>
      <w:pPr>
        <w:numPr>
          <w:ilvl w:val="0"/>
          <w:numId w:val="1001"/>
        </w:numPr>
        <w:pStyle w:val="Compact"/>
      </w:pPr>
      <w:r>
        <w:t xml:space="preserve">Patient self-pay / cash – patients pay you directly; no payer claim</w:t>
      </w:r>
    </w:p>
    <w:p>
      <w:pPr>
        <w:numPr>
          <w:ilvl w:val="0"/>
          <w:numId w:val="1001"/>
        </w:numPr>
        <w:pStyle w:val="Compact"/>
      </w:pPr>
      <w:r>
        <w:t xml:space="preserve">Value-based / capitation – per-member-per-month or risk-based</w:t>
      </w:r>
    </w:p>
    <w:p>
      <w:pPr>
        <w:numPr>
          <w:ilvl w:val="0"/>
          <w:numId w:val="1001"/>
        </w:numPr>
        <w:pStyle w:val="Compact"/>
      </w:pPr>
      <w:r>
        <w:t xml:space="preserve">Some combination</w:t>
      </w:r>
    </w:p>
    <w:p>
      <w:pPr>
        <w:pStyle w:val="FirstParagraph"/>
      </w:pPr>
      <w:r>
        <w:rPr>
          <w:iCs/>
          <w:i/>
        </w:rPr>
        <w:t xml:space="preserve">Why: Claims-based reads every lane; self-pay skips the Charge → Claim → Payer lane; value-based leans on Foundations and the Value-Based lane (3.11).</w:t>
      </w:r>
    </w:p>
    <w:p>
      <w:pPr>
        <w:pStyle w:val="BodyText"/>
      </w:pPr>
      <w:r>
        <w:rPr>
          <w:bCs/>
          <w:b/>
        </w:rPr>
        <w:t xml:space="preserve">1.2 How much of the revenue cycle runs in Medplum vs. delegated?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Clearinghouse-direct</w:t>
      </w:r>
      <w:r>
        <w:t xml:space="preserve"> </w:t>
      </w:r>
      <w:r>
        <w:t xml:space="preserve">– Medplum runs the cycle; the clearinghouse is transport. You own scrubbing, denials, and remittance posting. The most complete documented path.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RCM-automation partner</w:t>
      </w:r>
      <w:r>
        <w:t xml:space="preserve"> </w:t>
      </w:r>
      <w:r>
        <w:t xml:space="preserve">– you send encounter and charge data and delegate the back end; scrubbing, payer routing, denials, resubmission, patient collections, and reporting run on the partner’s platform. The integration surface is claim submission; the partner’s billing tasks sync back into Medplum as</w:t>
      </w:r>
      <w:r>
        <w:t xml:space="preserve"> </w:t>
      </w:r>
      <w:r>
        <w:rPr>
          <w:rStyle w:val="VerbatimChar"/>
        </w:rPr>
        <w:t xml:space="preserve">Task</w:t>
      </w:r>
      <w:r>
        <w:t xml:space="preserve">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Documents only (no electronic claims)</w:t>
      </w:r>
      <w:r>
        <w:t xml:space="preserve"> </w:t>
      </w:r>
      <w:r>
        <w:t xml:space="preserve">– you don’t run claims through a clearinghouse or RCM partner. Generate a CMS-1500 PDF for the occasional paper/portal payer, or hand patients a superbill to self-submit for out-of-network reimbursement. Common for cash-pay and OON practices (see 1.1); also a per-payer fallback you can layer onto any engine above.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External Practice Management (PM) / billing system</w:t>
      </w:r>
      <w:r>
        <w:t xml:space="preserve"> </w:t>
      </w:r>
      <w:r>
        <w:t xml:space="preserve">– Medplum is the clinical source of truth; charges or claims hand off to an existing PM/billing system that owns the rest.</w:t>
      </w:r>
    </w:p>
    <w:p>
      <w:pPr>
        <w:pStyle w:val="FirstParagraph"/>
      </w:pPr>
      <w:r>
        <w:rPr>
          <w:iCs/>
          <w:i/>
        </w:rPr>
        <w:t xml:space="preserve">In one line: a clearinghouse moves your claims; an RCM platform runs your revenue cycle. Either way Medplum owns the front half (coverage, charge capture, claim assembly); the paths diverge on the back half.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2329"/>
        <w:gridCol w:w="2269"/>
        <w:gridCol w:w="1629"/>
        <w:gridCol w:w="1666"/>
        <w:gridCol w:w="1467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Revenue-cycle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Clearinghouse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RCM 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Documents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 PM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Coverage &amp; charge capture (3.1–3.5)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Eligibility (3.3)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platform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Claim assembly (3.6)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Scrubbing / validation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owns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Submission (3.6)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 (837P)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submit 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PDF / patient files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Responses &amp; ERA posting (3.7)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 (webhook + poller)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owns;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s sync 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Denials &amp; resubmission (3.8)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owns;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s sync 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AR &amp; reporting (3.10)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owns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</w:t>
            </w:r>
          </w:p>
        </w:tc>
      </w:tr>
    </w:tbl>
    <w:p>
      <w:pPr>
        <w:pStyle w:val="BodyText"/>
      </w:pPr>
      <w:r>
        <w:rPr>
          <w:bCs/>
          <w:b/>
        </w:rPr>
        <w:t xml:space="preserve">How to choose: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1580"/>
        <w:gridCol w:w="3960"/>
        <w:gridCol w:w="3820"/>
      </w:tblGrid>
      <w:tr>
        <w:trPr>
          <w:cantSplit/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Clearinghouse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RCM partner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You 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control; billing data stays as FHIR in Medplum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payer-rules engine and in-house billers; far less to build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Trade-off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build and maintain the entire back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Recurring fees; less control; AR and reporting live on the partner’s platform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Choose 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have RCM expertise and want a fully owned cycle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 want to outsource the cycle</w:t>
            </w:r>
          </w:p>
        </w:tc>
      </w:tr>
    </w:tbl>
    <w:p>
      <w:pPr>
        <w:pStyle w:val="BodyText"/>
      </w:pPr>
      <w:r>
        <w:rPr>
          <w:iCs/>
          <w:i/>
        </w:rPr>
        <w:t xml:space="preserve">Paths can mix. The choice sets which Section 3 lanes you build (3.5–3.10) vs. read only for the boundary.</w:t>
      </w:r>
    </w:p>
    <w:p>
      <w:pPr>
        <w:pStyle w:val="BodyText"/>
      </w:pPr>
      <w:r>
        <w:rPr>
          <w:bCs/>
          <w:b/>
        </w:rPr>
        <w:t xml:space="preserve">1.3 Who does the billing work, and is the patient part of it?</w:t>
      </w:r>
    </w:p>
    <w:p>
      <w:pPr>
        <w:numPr>
          <w:ilvl w:val="0"/>
          <w:numId w:val="1003"/>
        </w:numPr>
        <w:pStyle w:val="Compact"/>
      </w:pPr>
      <w:r>
        <w:t xml:space="preserve">Charge capture: clinicians at point of care, or back-office entry?</w:t>
      </w:r>
    </w:p>
    <w:p>
      <w:pPr>
        <w:numPr>
          <w:ilvl w:val="0"/>
          <w:numId w:val="1003"/>
        </w:numPr>
        <w:pStyle w:val="Compact"/>
      </w:pPr>
      <w:r>
        <w:t xml:space="preserve">Coding and claim work: dedicated coders/billers, or automated with exception review?</w:t>
      </w:r>
    </w:p>
    <w:p>
      <w:pPr>
        <w:numPr>
          <w:ilvl w:val="0"/>
          <w:numId w:val="1003"/>
        </w:numPr>
        <w:pStyle w:val="Compact"/>
      </w:pPr>
      <w:r>
        <w:t xml:space="preserve">Accounts receivable (AR) follow-up: who works denials, aging, and patient balances?</w:t>
      </w:r>
    </w:p>
    <w:p>
      <w:pPr>
        <w:numPr>
          <w:ilvl w:val="0"/>
          <w:numId w:val="1003"/>
        </w:numPr>
        <w:pStyle w:val="Compact"/>
      </w:pPr>
      <w:r>
        <w:t xml:space="preserve">Patient: do patients see estimates, statements, or pay online?</w:t>
      </w:r>
    </w:p>
    <w:p>
      <w:pPr>
        <w:pStyle w:val="FirstParagraph"/>
      </w:pPr>
      <w:r>
        <w:rPr>
          <w:iCs/>
          <w:i/>
        </w:rPr>
        <w:t xml:space="preserve">Why: drives charge-capture design (3.5), who works denials and AR (3.8, 3.10), and whether patient-facing billing is in scope (3.9).</w:t>
      </w:r>
    </w:p>
    <w:p>
      <w:pPr>
        <w:pStyle w:val="BodyText"/>
      </w:pPr>
      <w:r>
        <w:rPr>
          <w:bCs/>
          <w:b/>
        </w:rPr>
        <w:t xml:space="preserve">1.4 Where does coding happen, and how automated is it?</w:t>
      </w:r>
    </w:p>
    <w:p>
      <w:pPr>
        <w:numPr>
          <w:ilvl w:val="0"/>
          <w:numId w:val="1004"/>
        </w:numPr>
        <w:pStyle w:val="Compact"/>
      </w:pPr>
      <w:r>
        <w:t xml:space="preserve">Auto-derived from clinical data (visit type, orders, procedures)?</w:t>
      </w:r>
    </w:p>
    <w:p>
      <w:pPr>
        <w:numPr>
          <w:ilvl w:val="0"/>
          <w:numId w:val="1004"/>
        </w:numPr>
        <w:pStyle w:val="Compact"/>
      </w:pPr>
      <w:r>
        <w:t xml:space="preserve">Coder-reviewed before the claim is built?</w:t>
      </w:r>
    </w:p>
    <w:p>
      <w:pPr>
        <w:numPr>
          <w:ilvl w:val="0"/>
          <w:numId w:val="1004"/>
        </w:numPr>
        <w:pStyle w:val="Compact"/>
      </w:pPr>
      <w:r>
        <w:t xml:space="preserve">Fully manual?</w:t>
      </w:r>
    </w:p>
    <w:p>
      <w:pPr>
        <w:pStyle w:val="FirstParagraph"/>
      </w:pPr>
      <w:r>
        <w:rPr>
          <w:iCs/>
          <w:i/>
        </w:rPr>
        <w:t xml:space="preserve">Why: drives the coding and review model in charge capture (3.5) and where scrubbing exceptions surface (3.6).</w:t>
      </w:r>
    </w:p>
    <w:p>
      <w:pPr>
        <w:pStyle w:val="BodyText"/>
      </w:pPr>
      <w:r>
        <w:rPr>
          <w:bCs/>
          <w:b/>
        </w:rPr>
        <w:t xml:space="preserve">1.5 New build or replacing/extending, and what else must billing touch?</w:t>
      </w:r>
    </w:p>
    <w:p>
      <w:pPr>
        <w:numPr>
          <w:ilvl w:val="0"/>
          <w:numId w:val="1005"/>
        </w:numPr>
        <w:pStyle w:val="Compact"/>
      </w:pPr>
      <w:r>
        <w:t xml:space="preserve">If replacing: what billing/PM system, and what gaps drove the change?</w:t>
      </w:r>
    </w:p>
    <w:p>
      <w:pPr>
        <w:numPr>
          <w:ilvl w:val="0"/>
          <w:numId w:val="1005"/>
        </w:numPr>
        <w:pStyle w:val="Compact"/>
      </w:pPr>
      <w:r>
        <w:t xml:space="preserve">If new: is billing core to the product (you’re building an RCM/billing product) or additive (a clinical app that also needs to bill)?</w:t>
      </w:r>
    </w:p>
    <w:p>
      <w:pPr>
        <w:numPr>
          <w:ilvl w:val="0"/>
          <w:numId w:val="1005"/>
        </w:numPr>
        <w:pStyle w:val="Compact"/>
      </w:pPr>
      <w:r>
        <w:t xml:space="preserve">What other systems must billing read from or write to (clinical/EHR source, PM, clearinghouse, accounting/GL, payment processor, payer portals)?</w:t>
      </w:r>
    </w:p>
    <w:p>
      <w:pPr>
        <w:pStyle w:val="FirstParagraph"/>
      </w:pPr>
      <w:r>
        <w:rPr>
          <w:iCs/>
          <w:i/>
        </w:rPr>
        <w:t xml:space="preserve">Why: surfaces integration boundaries and the source-of-truth split behind 1.2, 3.6, and 3.7. Core-to-product builds tend to own the cycle (a clearinghouse); additive builds tend to delegate (an RCM partner or external PM).</w:t>
      </w:r>
    </w:p>
    <w:p>
      <w:r>
        <w:pict>
          <v:rect style="width:0;height:1.5pt" o:hralign="center" o:hrstd="t" o:hr="t"/>
        </w:pict>
      </w:r>
    </w:p>
    <w:bookmarkEnd w:id="24"/>
    <w:bookmarkStart w:id="25" w:name="section-2-feature-scoping"/>
    <w:p>
      <w:pPr>
        <w:pStyle w:val="Heading2"/>
      </w:pPr>
      <w:r>
        <w:t xml:space="preserve">Section 2: Feature Scoping</w:t>
      </w:r>
    </w:p>
    <w:p>
      <w:pPr>
        <w:pStyle w:val="FirstParagraph"/>
      </w:pPr>
      <w:r>
        <w:rPr>
          <w:iCs/>
          <w:i/>
        </w:rPr>
        <w:t xml:space="preserve">Go through each row together. For each cell under Yes / No / Nice-to-have / Not sure, mark the customer’s answer. The</w:t>
      </w:r>
      <w:r>
        <w:t xml:space="preserve"> </w:t>
      </w:r>
      <w:r>
        <w:rPr>
          <w:bCs/>
          <w:b/>
        </w:rPr>
        <w:t xml:space="preserve">§</w:t>
      </w:r>
      <w:r>
        <w:t xml:space="preserve"> </w:t>
      </w:r>
      <w:r>
        <w:rPr>
          <w:iCs/>
          <w:i/>
        </w:rPr>
        <w:t xml:space="preserve">column points to the deep-dive subsection that covers each feature.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600"/>
        <w:gridCol w:w="3433"/>
        <w:gridCol w:w="994"/>
        <w:gridCol w:w="740"/>
        <w:gridCol w:w="600"/>
        <w:gridCol w:w="2000"/>
        <w:gridCol w:w="993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Nice-to-have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sure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Coverage &amp; payer modeling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Patient financial account / running balance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Real-time eligibility &amp; benefits (270/271)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 authorization (pre-service)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Patient cost / Good-Faith Estimates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Charge capture (encounter-linked) &amp; pricing / fee schedules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Coding (CPT/ICD-10, modifiers) with review queue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3.5, 3.6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Assemble, validate &amp; submit claims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CMS-1500 PDFs / superbills (manual / patient submission)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Ingest payer responses &amp; post remittance (277CA / 835)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Denials, corrected claims &amp; appeals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Patient statements, invoices &amp; online payment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Claim / AR status, aging &amp; 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Value-based contracts (panel, quality measures, capitation)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5"/>
    <w:bookmarkStart w:id="52" w:name="section-3-feature-deep-dives"/>
    <w:p>
      <w:pPr>
        <w:pStyle w:val="Heading2"/>
      </w:pPr>
      <w:r>
        <w:t xml:space="preserve">Section 3: Feature Deep Dives</w:t>
      </w:r>
    </w:p>
    <w:p>
      <w:pPr>
        <w:pStyle w:val="FirstParagraph"/>
      </w:pPr>
      <w:r>
        <w:rPr>
          <w:iCs/>
          <w:i/>
        </w:rPr>
        <w:t xml:space="preserve">Cover each feature flagged Yes or Nice-to-have in Section 2. The goal is to land on a clear recommended approach by the end of each section.</w:t>
      </w:r>
    </w:p>
    <w:p>
      <w:pPr>
        <w:pStyle w:val="BodyText"/>
      </w:pPr>
      <w:r>
        <w:t xml:space="preserve">Section 3 is grouped into four lanes: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313"/>
        <w:gridCol w:w="1860"/>
        <w:gridCol w:w="4187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Lane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Subsections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to read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Foundations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 – 3.2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Always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Pre-service / Patient 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3.3 – 3.4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you verify coverage or authorize before service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Charge → Claim → Payer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 – 3.8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you bill insurance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Patient &amp; Operations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 – 3.10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Always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Value-Based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you have capitated or risk-based contracts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9" w:name="foundations"/>
    <w:p>
      <w:pPr>
        <w:pStyle w:val="Heading3"/>
      </w:pPr>
      <w:r>
        <w:t xml:space="preserve">Foundations</w:t>
      </w:r>
    </w:p>
    <w:bookmarkStart w:id="27" w:name="coverage-insurance-model"/>
    <w:p>
      <w:pPr>
        <w:pStyle w:val="Heading4"/>
      </w:pPr>
      <w:r>
        <w:t xml:space="preserve">3.1 Coverage &amp; Insurance Model</w:t>
      </w:r>
    </w:p>
    <w:p>
      <w:pPr>
        <w:pStyle w:val="FirstParagraph"/>
      </w:pPr>
      <w:r>
        <w:t xml:space="preserve">How you represent a patient’s insurance (the coverage stack, the subscriber, payers, cost-sharing) is the foundation every claim and eligibility check builds on. See</w:t>
      </w:r>
      <w:r>
        <w:t xml:space="preserve"> </w:t>
      </w:r>
      <w:hyperlink r:id="rId26">
        <w:r>
          <w:rPr>
            <w:rStyle w:val="Hyperlink"/>
          </w:rPr>
          <w:t xml:space="preserve">Representing Patient Insurance Coverage</w:t>
        </w:r>
      </w:hyperlink>
      <w:r>
        <w:t xml:space="preserve">; coverage capture at intake is in the Intake guide (3.5).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6"/>
        </w:numPr>
        <w:pStyle w:val="Compact"/>
      </w:pPr>
      <w:r>
        <w:t xml:space="preserve">Do patients commonly have more than one coverage, and must you bill them in order?</w:t>
      </w:r>
    </w:p>
    <w:p>
      <w:pPr>
        <w:numPr>
          <w:ilvl w:val="0"/>
          <w:numId w:val="1006"/>
        </w:numPr>
        <w:pStyle w:val="Compact"/>
      </w:pPr>
      <w:r>
        <w:t xml:space="preserve">Is the subscriber sometimes someone other than the patient?</w:t>
      </w:r>
    </w:p>
    <w:p>
      <w:pPr>
        <w:numPr>
          <w:ilvl w:val="0"/>
          <w:numId w:val="1006"/>
        </w:numPr>
        <w:pStyle w:val="Compact"/>
      </w:pPr>
      <w:r>
        <w:t xml:space="preserve">Is your payer list curated in Medplum, synced, or created on demand?</w:t>
      </w:r>
    </w:p>
    <w:p>
      <w:pPr>
        <w:numPr>
          <w:ilvl w:val="0"/>
          <w:numId w:val="1006"/>
        </w:numPr>
        <w:pStyle w:val="Compact"/>
      </w:pPr>
      <w:r>
        <w:t xml:space="preserve">What cost-sharing (copay, coinsurance, deductible) do you need for estimates and patient billing?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709"/>
        <w:gridCol w:w="565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Subscriber is the patient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rPr>
                <w:rStyle w:val="VerbatimChar"/>
              </w:rPr>
              <w:t xml:space="preserve">Coverage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subscriber</w:t>
            </w:r>
            <w:r>
              <w:t xml:space="preserve"> </w:t>
            </w:r>
            <w:r>
              <w:t xml:space="preserve">=</w:t>
            </w:r>
            <w:r>
              <w:t xml:space="preserve"> </w:t>
            </w:r>
            <w:r>
              <w:rPr>
                <w:rStyle w:val="VerbatimChar"/>
              </w:rPr>
              <w:t xml:space="preserve">Patient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relationship</w:t>
            </w:r>
            <w:r>
              <w:t xml:space="preserve"> </w:t>
            </w:r>
            <w:r>
              <w:t xml:space="preserve">=</w:t>
            </w:r>
            <w:r>
              <w:t xml:space="preserve"> </w:t>
            </w:r>
            <w:r>
              <w:rPr>
                <w:rStyle w:val="VerbatimChar"/>
              </w:rPr>
              <w:t xml:space="preserve">self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payor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Organization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Primary + secondary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rPr>
                <w:rStyle w:val="VerbatimChar"/>
              </w:rPr>
              <w:t xml:space="preserve">Coverage</w:t>
            </w:r>
            <w:r>
              <w:t xml:space="preserve"> </w:t>
            </w:r>
            <w:r>
              <w:t xml:space="preserve">per plan;</w:t>
            </w:r>
            <w:r>
              <w:t xml:space="preserve"> </w:t>
            </w:r>
            <w:r>
              <w:rPr>
                <w:rStyle w:val="VerbatimChar"/>
              </w:rPr>
              <w:t xml:space="preserve">Coverage.order</w:t>
            </w:r>
            <w:r>
              <w:t xml:space="preserve"> </w:t>
            </w:r>
            <w:r>
              <w:t xml:space="preserve">sets billing sequence. Secondary submits after the primary remittance posts (3.7).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Subscriber ≠ patient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Coverage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RelatedPerson</w:t>
            </w:r>
            <w:r>
              <w:t xml:space="preserve"> </w:t>
            </w:r>
            <w:r>
              <w:t xml:space="preserve">for the subscriber. The relationship inverts:</w:t>
            </w:r>
            <w:r>
              <w:t xml:space="preserve"> </w:t>
            </w:r>
            <w:r>
              <w:rPr>
                <w:rStyle w:val="VerbatimChar"/>
              </w:rPr>
              <w:t xml:space="preserve">Coverage.relationship</w:t>
            </w:r>
            <w:r>
              <w:t xml:space="preserve"> </w:t>
            </w:r>
            <w:r>
              <w:t xml:space="preserve">is the patient’s relationship to the subscriber, the</w:t>
            </w:r>
            <w:r>
              <w:t xml:space="preserve"> </w:t>
            </w:r>
            <w:r>
              <w:rPr>
                <w:rStyle w:val="VerbatimChar"/>
              </w:rPr>
              <w:t xml:space="preserve">RelatedPerson</w:t>
            </w:r>
            <w:r>
              <w:t xml:space="preserve">’s is the reverse (coverage</w:t>
            </w:r>
            <w:r>
              <w:t xml:space="preserve"> </w:t>
            </w:r>
            <w:r>
              <w:rPr>
                <w:rStyle w:val="VerbatimChar"/>
              </w:rPr>
              <w:t xml:space="preserve">child</w:t>
            </w:r>
            <w:r>
              <w:t xml:space="preserve"> </w:t>
            </w:r>
            <w:r>
              <w:t xml:space="preserve">→ related person</w:t>
            </w:r>
            <w:r>
              <w:t xml:space="preserve"> </w:t>
            </w:r>
            <w:r>
              <w:rPr>
                <w:rStyle w:val="VerbatimChar"/>
              </w:rPr>
              <w:t xml:space="preserve">parent</w:t>
            </w:r>
            <w:r>
              <w:t xml:space="preserve">). Getting this backwards is a common billing bug.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Member ID &amp; plan details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Coverage.subscriberId</w:t>
            </w:r>
            <w:r>
              <w:t xml:space="preserve"> </w:t>
            </w:r>
            <w:r>
              <w:t xml:space="preserve">for member ID;</w:t>
            </w:r>
            <w:r>
              <w:t xml:space="preserve"> </w:t>
            </w:r>
            <w:r>
              <w:rPr>
                <w:rStyle w:val="VerbatimChar"/>
              </w:rPr>
              <w:t xml:space="preserve">Coverage.class</w:t>
            </w:r>
            <w:r>
              <w:t xml:space="preserve"> </w:t>
            </w:r>
            <w:r>
              <w:t xml:space="preserve">for group, plan name, RxBIN/RxPCN.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Cost-sharing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Coverage.costToBeneficiary</w:t>
            </w:r>
            <w:r>
              <w:t xml:space="preserve">; feeds estimates (3.4) and patient responsibility (3.9).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Payer directory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Medplum ships a built-in</w:t>
            </w:r>
            <w:r>
              <w:t xml:space="preserve"> </w:t>
            </w:r>
            <w:r>
              <w:rPr>
                <w:bCs/>
                <w:b/>
              </w:rPr>
              <w:t xml:space="preserve">Payer Directory</w:t>
            </w:r>
            <w:r>
              <w:t xml:space="preserve"> </w:t>
            </w:r>
            <w:r>
              <w:t xml:space="preserve">of</w:t>
            </w:r>
            <w:r>
              <w:t xml:space="preserve"> </w:t>
            </w:r>
            <w:r>
              <w:rPr>
                <w:rStyle w:val="VerbatimChar"/>
              </w:rPr>
              <w:t xml:space="preserve">Organization</w:t>
            </w:r>
            <w:r>
              <w:t xml:space="preserve">s, or curate your own. The payer identifier system differs by backend; see 3.6.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Card images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Store as</w:t>
            </w:r>
            <w:r>
              <w:t xml:space="preserve"> </w:t>
            </w:r>
            <w:r>
              <w:rPr>
                <w:rStyle w:val="VerbatimChar"/>
              </w:rPr>
              <w:t xml:space="preserve">DocumentReference</w:t>
            </w:r>
            <w:r>
              <w:t xml:space="preserve">/</w:t>
            </w:r>
            <w:r>
              <w:rPr>
                <w:rStyle w:val="VerbatimChar"/>
              </w:rPr>
              <w:t xml:space="preserve">Binary</w:t>
            </w:r>
            <w:r>
              <w:t xml:space="preserve"> </w:t>
            </w:r>
            <w:r>
              <w:t xml:space="preserve">linked to the</w:t>
            </w:r>
            <w:r>
              <w:t xml:space="preserve"> </w:t>
            </w:r>
            <w:r>
              <w:rPr>
                <w:rStyle w:val="VerbatimChar"/>
              </w:rPr>
              <w:t xml:space="preserve">Coverage</w:t>
            </w:r>
            <w:r>
              <w:t xml:space="preserve">.</w:t>
            </w:r>
          </w:p>
        </w:tc>
      </w:tr>
    </w:tbl>
    <w:bookmarkEnd w:id="27"/>
    <w:bookmarkStart w:id="28" w:name="account-financial-ledger"/>
    <w:p>
      <w:pPr>
        <w:pStyle w:val="Heading4"/>
      </w:pPr>
      <w:r>
        <w:t xml:space="preserve">3.2 Account &amp; Financial Ledger</w:t>
      </w:r>
    </w:p>
    <w:p>
      <w:pPr>
        <w:pStyle w:val="FirstParagraph"/>
      </w:pPr>
      <w:r>
        <w:t xml:space="preserve">Decide whether you track a patient financial account that rolls charges, claims, and payments into a balance (the backbone for AR in 3.10 and patient billing in 3.9), or let each charge stand alone.</w:t>
      </w:r>
    </w:p>
    <w:p>
      <w:pPr>
        <w:pStyle w:val="BodyText"/>
      </w:pPr>
      <w:r>
        <w:rPr>
          <w:iCs/>
          <w:i/>
        </w:rPr>
        <w:t xml:space="preserve">Note: the rows below are one FHIR approach to a financial ledger; validate against your reporting and reconciliation requirements.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7"/>
        </w:numPr>
        <w:pStyle w:val="Compact"/>
      </w:pPr>
      <w:r>
        <w:t xml:space="preserve">Do you need a single balance rolling up charges, payer payments, adjustments, and patient payments?</w:t>
      </w:r>
    </w:p>
    <w:p>
      <w:pPr>
        <w:numPr>
          <w:ilvl w:val="0"/>
          <w:numId w:val="1007"/>
        </w:numPr>
        <w:pStyle w:val="Compact"/>
      </w:pPr>
      <w:r>
        <w:t xml:space="preserve">Is the account scoped per patient, per visit, or per episode?</w:t>
      </w:r>
    </w:p>
    <w:p>
      <w:pPr>
        <w:numPr>
          <w:ilvl w:val="0"/>
          <w:numId w:val="1007"/>
        </w:numPr>
        <w:pStyle w:val="Compact"/>
      </w:pPr>
      <w:r>
        <w:t xml:space="preserve">Do you track payer and patient responsibility separately on the same account?</w:t>
      </w:r>
    </w:p>
    <w:p>
      <w:pPr>
        <w:numPr>
          <w:ilvl w:val="0"/>
          <w:numId w:val="1007"/>
        </w:numPr>
        <w:pStyle w:val="Compact"/>
      </w:pPr>
      <w:r>
        <w:t xml:space="preserve">Must the account reconcile against an external accounting/GL system?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2987"/>
        <w:gridCol w:w="6373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Running balance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Account</w:t>
            </w:r>
            <w:r>
              <w:t xml:space="preserve"> </w:t>
            </w:r>
            <w:r>
              <w:t xml:space="preserve">as the ledger anchor;</w:t>
            </w:r>
            <w:r>
              <w:t xml:space="preserve"> </w:t>
            </w:r>
            <w:r>
              <w:rPr>
                <w:rStyle w:val="VerbatimChar"/>
              </w:rPr>
              <w:t xml:space="preserve">ChargeItem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Claim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PaymentReconciliation</w:t>
            </w:r>
            <w:r>
              <w:t xml:space="preserve">, and</w:t>
            </w:r>
            <w:r>
              <w:t xml:space="preserve"> </w:t>
            </w:r>
            <w:r>
              <w:rPr>
                <w:rStyle w:val="VerbatimChar"/>
              </w:rPr>
              <w:t xml:space="preserve">Invoice</w:t>
            </w:r>
            <w:r>
              <w:t xml:space="preserve"> </w:t>
            </w:r>
            <w:r>
              <w:t xml:space="preserve">reference it.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Account scope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Account.subject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Patient</w:t>
            </w:r>
            <w:r>
              <w:t xml:space="preserve">, or tie to</w:t>
            </w:r>
            <w:r>
              <w:t xml:space="preserve"> </w:t>
            </w:r>
            <w:r>
              <w:rPr>
                <w:rStyle w:val="VerbatimChar"/>
              </w:rPr>
              <w:t xml:space="preserve">Encounter</w:t>
            </w:r>
            <w:r>
              <w:t xml:space="preserve"> </w:t>
            </w:r>
            <w:r>
              <w:t xml:space="preserve">for visit-level; apply one scope consistently.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Payer vs. patient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Payer side via claim/remittance (3.7), patient side via</w:t>
            </w:r>
            <w:r>
              <w:t xml:space="preserve"> </w:t>
            </w:r>
            <w:r>
              <w:rPr>
                <w:rStyle w:val="VerbatimChar"/>
              </w:rPr>
              <w:t xml:space="preserve">Invoice</w:t>
            </w:r>
            <w:r>
              <w:t xml:space="preserve"> </w:t>
            </w:r>
            <w:r>
              <w:t xml:space="preserve">(3.9), both rolling to the same</w:t>
            </w:r>
            <w:r>
              <w:t xml:space="preserve"> </w:t>
            </w:r>
            <w:r>
              <w:rPr>
                <w:rStyle w:val="VerbatimChar"/>
              </w:rPr>
              <w:t xml:space="preserve">Account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No ledger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Skip</w:t>
            </w:r>
            <w:r>
              <w:t xml:space="preserve"> </w:t>
            </w:r>
            <w:r>
              <w:rPr>
                <w:rStyle w:val="VerbatimChar"/>
              </w:rPr>
              <w:t xml:space="preserve">Account</w:t>
            </w:r>
            <w:r>
              <w:t xml:space="preserve"> </w:t>
            </w:r>
            <w:r>
              <w:t xml:space="preserve">for pure pass-through submission where another system owns the balance, but you lose in-Medplum AR (3.10).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8"/>
    <w:bookmarkEnd w:id="29"/>
    <w:bookmarkStart w:id="34" w:name="pre-service-patient-access"/>
    <w:p>
      <w:pPr>
        <w:pStyle w:val="Heading3"/>
      </w:pPr>
      <w:r>
        <w:t xml:space="preserve">Pre-service / Patient Access</w:t>
      </w:r>
    </w:p>
    <w:bookmarkStart w:id="31" w:name="eligibility-benefits"/>
    <w:p>
      <w:pPr>
        <w:pStyle w:val="Heading4"/>
      </w:pPr>
      <w:r>
        <w:t xml:space="preserve">3.3 Eligibility &amp; Benefits</w:t>
      </w:r>
    </w:p>
    <w:p>
      <w:pPr>
        <w:pStyle w:val="FirstParagraph"/>
      </w:pPr>
      <w:r>
        <w:t xml:space="preserve">Decide whether you verify coverage before service, what you ask the payer, and when the check runs. See</w:t>
      </w:r>
      <w:r>
        <w:t xml:space="preserve"> </w:t>
      </w:r>
      <w:hyperlink r:id="rId30">
        <w:r>
          <w:rPr>
            <w:rStyle w:val="Hyperlink"/>
          </w:rPr>
          <w:t xml:space="preserve">Insurance Eligibility Checks</w:t>
        </w:r>
      </w:hyperlink>
      <w:r>
        <w:t xml:space="preserve">.</w:t>
      </w:r>
    </w:p>
    <w:p>
      <w:pPr>
        <w:pStyle w:val="BodyText"/>
      </w:pPr>
      <w:r>
        <w:rPr>
          <w:iCs/>
          <w:i/>
        </w:rPr>
        <w:t xml:space="preserve">Note: Eligibility is provided by the clearinghouse integration. An RCM partner may offer its own eligibility on its platform, outside that integration.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8"/>
        </w:numPr>
        <w:pStyle w:val="Compact"/>
      </w:pPr>
      <w:r>
        <w:t xml:space="preserve">What must you confirm: active coverage, covered service, in-network status, or benefit/cost detail?</w:t>
      </w:r>
    </w:p>
    <w:p>
      <w:pPr>
        <w:numPr>
          <w:ilvl w:val="0"/>
          <w:numId w:val="1008"/>
        </w:numPr>
        <w:pStyle w:val="Compact"/>
      </w:pPr>
      <w:r>
        <w:t xml:space="preserve">When does the check run: scheduling, check-in, or batch pre-visit?</w:t>
      </w:r>
    </w:p>
    <w:p>
      <w:pPr>
        <w:numPr>
          <w:ilvl w:val="0"/>
          <w:numId w:val="1008"/>
        </w:numPr>
        <w:pStyle w:val="Compact"/>
      </w:pPr>
      <w:r>
        <w:t xml:space="preserve">Do you re-check on a cadence for ongoing patients?</w:t>
      </w:r>
    </w:p>
    <w:p>
      <w:pPr>
        <w:numPr>
          <w:ilvl w:val="0"/>
          <w:numId w:val="1008"/>
        </w:numPr>
        <w:pStyle w:val="Compact"/>
      </w:pPr>
      <w:r>
        <w:t xml:space="preserve">Who works failed or ambiguous checks?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496"/>
        <w:gridCol w:w="5864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Verify coverage / benefits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CoverageEligibilityRequest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purpose: benefits</w:t>
            </w:r>
            <w:r>
              <w:t xml:space="preserve">); invoke the clearinghouse eligibility operation to run the X12 270/271 and return a</w:t>
            </w:r>
            <w:r>
              <w:t xml:space="preserve"> </w:t>
            </w:r>
            <w:r>
              <w:rPr>
                <w:rStyle w:val="VerbatimChar"/>
              </w:rPr>
              <w:t xml:space="preserve">CoverageEligibilityResponse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Scope limit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current integration returns general benefits only, not arbitrary service-specific benefit queries.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In-network 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 network participation from the response (in-network indicator Y/N/U/W); run at provider selection or as a pre-schedule gate.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Cost-sharing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Copay, coinsurance, remaining deductible, and out-of-pocket land in</w:t>
            </w:r>
            <w:r>
              <w:t xml:space="preserve"> </w:t>
            </w:r>
            <w:r>
              <w:rPr>
                <w:rStyle w:val="VerbatimChar"/>
              </w:rPr>
              <w:t xml:space="preserve">CoverageEligibilityResponse.insurance.item</w:t>
            </w:r>
            <w:r>
              <w:t xml:space="preserve">; the input to patient estimates (3.4).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When it runs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</w:t>
            </w:r>
            <w:r>
              <w:t xml:space="preserve"> </w:t>
            </w:r>
            <w:r>
              <w:rPr>
                <w:rStyle w:val="VerbatimChar"/>
              </w:rPr>
              <w:t xml:space="preserve">Bot</w:t>
            </w:r>
            <w:r>
              <w:t xml:space="preserve"> </w:t>
            </w:r>
            <w:r>
              <w:t xml:space="preserve">issues the request on the triggering event; persist the response for the visit and billing.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Exception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 failure or ambiguity, create a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 </w:t>
            </w:r>
            <w:r>
              <w:t xml:space="preserve">for registration rather than proceeding silently.</w:t>
            </w:r>
          </w:p>
        </w:tc>
      </w:tr>
    </w:tbl>
    <w:bookmarkEnd w:id="31"/>
    <w:bookmarkStart w:id="33" w:name="prior-authorization-estimates"/>
    <w:p>
      <w:pPr>
        <w:pStyle w:val="Heading4"/>
      </w:pPr>
      <w:r>
        <w:t xml:space="preserve">3.4 Prior Authorization &amp; Estimates</w:t>
      </w:r>
    </w:p>
    <w:p>
      <w:pPr>
        <w:pStyle w:val="FirstParagraph"/>
      </w:pPr>
      <w:r>
        <w:t xml:space="preserve">Decide whether services need payer authorization before they happen, how you track that to a decision, and whether you produce patient cost estimates up front.</w:t>
      </w:r>
    </w:p>
    <w:p>
      <w:pPr>
        <w:pStyle w:val="BodyText"/>
      </w:pPr>
      <w:r>
        <w:rPr>
          <w:iCs/>
          <w:i/>
        </w:rPr>
        <w:t xml:space="preserve">Note: the eligibility- and Claim-based rows below are one FHIR approach to prior auth; validate against your payer requirements. The standards-based CMS-0057-F path (CDS Hooks / CRD) is in</w:t>
      </w:r>
      <w:r>
        <w:rPr>
          <w:iCs/>
          <w:i/>
        </w:rPr>
        <w:t xml:space="preserve"> </w:t>
      </w:r>
      <w:hyperlink r:id="rId32">
        <w:r>
          <w:rPr>
            <w:rStyle w:val="Hyperlink"/>
            <w:iCs/>
            <w:i/>
          </w:rPr>
          <w:t xml:space="preserve">alpha</w:t>
        </w:r>
      </w:hyperlink>
      <w:r>
        <w:rPr>
          <w:iCs/>
          <w:i/>
        </w:rPr>
        <w:t xml:space="preserve">. Prior auth in a referral context is in the Referrals guide (3.7).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9"/>
        </w:numPr>
        <w:pStyle w:val="Compact"/>
      </w:pPr>
      <w:r>
        <w:t xml:space="preserve">Do any services require prior authorization before scheduling or delivery?</w:t>
      </w:r>
    </w:p>
    <w:p>
      <w:pPr>
        <w:numPr>
          <w:ilvl w:val="0"/>
          <w:numId w:val="1009"/>
        </w:numPr>
        <w:pStyle w:val="Compact"/>
      </w:pPr>
      <w:r>
        <w:t xml:space="preserve">How do you check whether auth is required, and track a submitted auth to approval/denial?</w:t>
      </w:r>
    </w:p>
    <w:p>
      <w:pPr>
        <w:numPr>
          <w:ilvl w:val="0"/>
          <w:numId w:val="1009"/>
        </w:numPr>
        <w:pStyle w:val="Compact"/>
      </w:pPr>
      <w:r>
        <w:t xml:space="preserve">Must scheduling be gated until authorization clears?</w:t>
      </w:r>
    </w:p>
    <w:p>
      <w:pPr>
        <w:numPr>
          <w:ilvl w:val="0"/>
          <w:numId w:val="1009"/>
        </w:numPr>
        <w:pStyle w:val="Compact"/>
      </w:pPr>
      <w:r>
        <w:t xml:space="preserve">Do you owe patients a cost estimate before service (e.g. a Good-Faith Estimate)?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918"/>
        <w:gridCol w:w="5442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Is auth required?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CoverageEligibilityRequest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purpose: auth-requirements</w:t>
            </w:r>
            <w:r>
              <w:t xml:space="preserve">; the response indicates whether authorization is required.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Submit a prior auth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Claim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use: preauthorization</w:t>
            </w:r>
            <w:r>
              <w:t xml:space="preserve"> </w:t>
            </w:r>
            <w:r>
              <w:t xml:space="preserve">(distinct from a claim for completed services);</w:t>
            </w:r>
            <w:r>
              <w:t xml:space="preserve"> </w:t>
            </w:r>
            <w:r>
              <w:rPr>
                <w:rStyle w:val="VerbatimChar"/>
              </w:rPr>
              <w:t xml:space="preserve">ClaimResponse</w:t>
            </w:r>
            <w:r>
              <w:t xml:space="preserve"> </w:t>
            </w:r>
            <w:r>
              <w:t xml:space="preserve">carries the decision. A</w:t>
            </w:r>
            <w:r>
              <w:t xml:space="preserve"> </w:t>
            </w:r>
            <w:r>
              <w:rPr>
                <w:rStyle w:val="VerbatimChar"/>
              </w:rPr>
              <w:t xml:space="preserve">Bot</w:t>
            </w:r>
            <w:r>
              <w:t xml:space="preserve"> </w:t>
            </w:r>
            <w:r>
              <w:t xml:space="preserve">converts FHIR ↔ X12 for transmission.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Standards-based (CMS-0057-F)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 prior auth via CDS Hooks / Coverage Requirements Discovery (CRD);</w:t>
            </w:r>
            <w:r>
              <w:t xml:space="preserve"> </w:t>
            </w:r>
            <w:hyperlink r:id="rId32">
              <w:r>
                <w:rPr>
                  <w:rStyle w:val="Hyperlink"/>
                </w:rPr>
                <w:t xml:space="preserve">alpha</w:t>
              </w:r>
            </w:hyperlink>
            <w:r>
              <w:t xml:space="preserve">. The emerging payer-interop path as the rule phases in.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Gate scheduling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Hold in an auth-pending</w:t>
            </w:r>
            <w:r>
              <w:t xml:space="preserve"> </w:t>
            </w:r>
            <w:r>
              <w:rPr>
                <w:rStyle w:val="VerbatimChar"/>
              </w:rPr>
              <w:t xml:space="preserve">Task.businessStatus</w:t>
            </w:r>
            <w:r>
              <w:t xml:space="preserve"> </w:t>
            </w:r>
            <w:r>
              <w:t xml:space="preserve">until the</w:t>
            </w:r>
            <w:r>
              <w:t xml:space="preserve"> </w:t>
            </w:r>
            <w:r>
              <w:rPr>
                <w:rStyle w:val="VerbatimChar"/>
              </w:rPr>
              <w:t xml:space="preserve">ClaimResponse</w:t>
            </w:r>
            <w:r>
              <w:t xml:space="preserve"> </w:t>
            </w:r>
            <w:r>
              <w:t xml:space="preserve">approves, then release.</w:t>
            </w:r>
          </w:p>
        </w:tc>
      </w:tr>
    </w:tbl>
    <w:p>
      <w:pPr>
        <w:pStyle w:val="BodyText"/>
      </w:pPr>
      <w:r>
        <w:rPr>
          <w:bCs/>
          <w:b/>
        </w:rPr>
        <w:t xml:space="preserve">Good-Faith Estimates (No Surprises Act).</w:t>
      </w:r>
      <w:r>
        <w:t xml:space="preserve"> </w:t>
      </w:r>
      <w:r>
        <w:t xml:space="preserve">One FHIR approach: build the estimate from pricing rules (</w:t>
      </w:r>
      <w:r>
        <w:rPr>
          <w:rStyle w:val="VerbatimChar"/>
        </w:rPr>
        <w:t xml:space="preserve">ChargeItemDefinition</w:t>
      </w:r>
      <w:r>
        <w:t xml:space="preserve">/</w:t>
      </w:r>
      <w:r>
        <w:rPr>
          <w:rStyle w:val="VerbatimChar"/>
        </w:rPr>
        <w:t xml:space="preserve">$apply</w:t>
      </w:r>
      <w:r>
        <w:t xml:space="preserve">, 3.5) and the patient’s cost-sharing (</w:t>
      </w:r>
      <w:r>
        <w:rPr>
          <w:rStyle w:val="VerbatimChar"/>
        </w:rPr>
        <w:t xml:space="preserve">Coverage.costToBeneficiary</w:t>
      </w:r>
      <w:r>
        <w:t xml:space="preserve">, 3.1), delivered as a</w:t>
      </w:r>
      <w:r>
        <w:t xml:space="preserve"> </w:t>
      </w:r>
      <w:r>
        <w:rPr>
          <w:rStyle w:val="VerbatimChar"/>
        </w:rPr>
        <w:t xml:space="preserve">DocumentReference</w:t>
      </w:r>
      <w:r>
        <w:t xml:space="preserve">; validate against your compliance requirements. Mainly for self-pay and out-of-network patients.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43" w:name="charge-claim-payer"/>
    <w:p>
      <w:pPr>
        <w:pStyle w:val="Heading3"/>
      </w:pPr>
      <w:r>
        <w:t xml:space="preserve">Charge → Claim → Payer</w:t>
      </w:r>
    </w:p>
    <w:p>
      <w:pPr>
        <w:pStyle w:val="FirstParagraph"/>
      </w:pPr>
      <w:r>
        <w:rPr>
          <w:iCs/>
          <w:i/>
        </w:rPr>
        <w:t xml:space="preserve">Insurance-claims-specific. Self-pay builds skip to Patient &amp; Operations; pricing (3.5) still applies to self-pay rates and estimates.</w:t>
      </w:r>
    </w:p>
    <w:bookmarkStart w:id="36" w:name="charge-capture-coding-pricing"/>
    <w:p>
      <w:pPr>
        <w:pStyle w:val="Heading4"/>
      </w:pPr>
      <w:r>
        <w:t xml:space="preserve">3.5 Charge Capture, Coding &amp; Pricing</w:t>
      </w:r>
    </w:p>
    <w:p>
      <w:pPr>
        <w:pStyle w:val="FirstParagraph"/>
      </w:pPr>
      <w:r>
        <w:t xml:space="preserve">Decide what gets billed, where the codes come from, and how each line is priced. Coding is the largest source of denials, so treat it as first-class, not a byproduct of charge entry.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0"/>
        </w:numPr>
        <w:pStyle w:val="Compact"/>
      </w:pPr>
      <w:r>
        <w:t xml:space="preserve">What generates a charge: a completed encounter, an order/procedure, a fulfilled service?</w:t>
      </w:r>
    </w:p>
    <w:p>
      <w:pPr>
        <w:numPr>
          <w:ilvl w:val="0"/>
          <w:numId w:val="1010"/>
        </w:numPr>
        <w:pStyle w:val="Compact"/>
      </w:pPr>
      <w:r>
        <w:t xml:space="preserve">Where do codes come from (CPT/HCPCS, ICD-10, modifiers): auto-derived, coder-reviewed, or manual (1.4)?</w:t>
      </w:r>
    </w:p>
    <w:p>
      <w:pPr>
        <w:numPr>
          <w:ilvl w:val="0"/>
          <w:numId w:val="1010"/>
        </w:numPr>
        <w:pStyle w:val="Compact"/>
      </w:pPr>
      <w:r>
        <w:t xml:space="preserve">Is pricing a single fee schedule, or does it vary by payer contract?</w:t>
      </w:r>
    </w:p>
    <w:p>
      <w:pPr>
        <w:numPr>
          <w:ilvl w:val="0"/>
          <w:numId w:val="1010"/>
        </w:numPr>
        <w:pStyle w:val="Compact"/>
      </w:pPr>
      <w:r>
        <w:t xml:space="preserve">Who reviews coding before a claim is built, and how do exceptions surface?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289"/>
        <w:gridCol w:w="607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What gets billed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rPr>
                <w:rStyle w:val="VerbatimChar"/>
              </w:rPr>
              <w:t xml:space="preserve">ChargeItem</w:t>
            </w:r>
            <w:r>
              <w:t xml:space="preserve"> </w:t>
            </w:r>
            <w:r>
              <w:t xml:space="preserve">per billable line;</w:t>
            </w:r>
            <w:r>
              <w:t xml:space="preserve"> </w:t>
            </w:r>
            <w:r>
              <w:rPr>
                <w:rStyle w:val="VerbatimChar"/>
              </w:rPr>
              <w:t xml:space="preserve">ChargeItem.code</w:t>
            </w:r>
            <w:r>
              <w:t xml:space="preserve"> </w:t>
            </w:r>
            <w:r>
              <w:t xml:space="preserve">carries CPT/HCPCS. Link</w:t>
            </w:r>
            <w:r>
              <w:t xml:space="preserve"> </w:t>
            </w:r>
            <w:r>
              <w:rPr>
                <w:rStyle w:val="VerbatimChar"/>
              </w:rPr>
              <w:t xml:space="preserve">context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Encounter</w:t>
            </w:r>
            <w:r>
              <w:t xml:space="preserve"> </w:t>
            </w:r>
            <w:r>
              <w:t xml:space="preserve">and reference the</w:t>
            </w:r>
            <w:r>
              <w:t xml:space="preserve"> </w:t>
            </w:r>
            <w:r>
              <w:rPr>
                <w:rStyle w:val="VerbatimChar"/>
              </w:rPr>
              <w:t xml:space="preserve">Account</w:t>
            </w:r>
            <w:r>
              <w:t xml:space="preserve"> </w:t>
            </w:r>
            <w:r>
              <w:t xml:space="preserve">(3.2) at creation, or reconciling into claims and AR later gets painful.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Pricing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ChargeItemDefinition</w:t>
            </w:r>
            <w:r>
              <w:t xml:space="preserve"> </w:t>
            </w:r>
            <w:r>
              <w:t xml:space="preserve">holds the rules;</w:t>
            </w:r>
            <w:r>
              <w:t xml:space="preserve"> </w:t>
            </w:r>
            <w:hyperlink r:id="rId35">
              <w:r>
                <w:rPr>
                  <w:rStyle w:val="VerbatimChar"/>
                </w:rPr>
                <w:t xml:space="preserve">$apply</w:t>
              </w:r>
            </w:hyperlink>
            <w:r>
              <w:t xml:space="preserve"> </w:t>
            </w:r>
            <w:r>
              <w:t xml:space="preserve">calculates the price.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Payer-specific rates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Multiple</w:t>
            </w:r>
            <w:r>
              <w:t xml:space="preserve"> </w:t>
            </w:r>
            <w:r>
              <w:rPr>
                <w:rStyle w:val="VerbatimChar"/>
              </w:rPr>
              <w:t xml:space="preserve">ChargeItemDefinition</w:t>
            </w:r>
            <w:r>
              <w:t xml:space="preserve">s keyed to payer/contract; apply the one matching the coverage.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Coding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Auto-derive via a</w:t>
            </w:r>
            <w:r>
              <w:t xml:space="preserve"> </w:t>
            </w:r>
            <w:r>
              <w:rPr>
                <w:rStyle w:val="VerbatimChar"/>
              </w:rPr>
              <w:t xml:space="preserve">Bot</w:t>
            </w:r>
            <w:r>
              <w:t xml:space="preserve">, or set by a coder; route low-confidence items to a review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Diagnoses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 ICD-10 diagnoses to attach to the claim (</w:t>
            </w:r>
            <w:r>
              <w:rPr>
                <w:rStyle w:val="VerbatimChar"/>
              </w:rPr>
              <w:t xml:space="preserve">Claim.diagnosis</w:t>
            </w:r>
            <w:r>
              <w:t xml:space="preserve">, with item-level pointers) in 3.6.</w:t>
            </w:r>
          </w:p>
        </w:tc>
      </w:tr>
    </w:tbl>
    <w:bookmarkEnd w:id="36"/>
    <w:bookmarkStart w:id="40" w:name="claim-assembly-submission"/>
    <w:p>
      <w:pPr>
        <w:pStyle w:val="Heading4"/>
      </w:pPr>
      <w:r>
        <w:t xml:space="preserve">3.6 Claim Assembly &amp; Submission</w:t>
      </w:r>
    </w:p>
    <w:p>
      <w:pPr>
        <w:pStyle w:val="FirstParagraph"/>
      </w:pPr>
      <w:r>
        <w:t xml:space="preserve">Decide how you build a valid claim from charges and coverage, and how it leaves your system. The 1.2 engine decision plays out here.</w:t>
      </w:r>
    </w:p>
    <w:p>
      <w:pPr>
        <w:pStyle w:val="BodyText"/>
      </w:pPr>
      <w:r>
        <w:rPr>
          <w:bCs/>
          <w:b/>
        </w:rPr>
        <w:t xml:space="preserve">⚠ One-way door:</w:t>
      </w:r>
      <w:r>
        <w:t xml:space="preserve"> </w:t>
      </w:r>
      <w:r>
        <w:t xml:space="preserve">Choosing a submission backend is hard to reverse. Each maps the</w:t>
      </w:r>
      <w:r>
        <w:t xml:space="preserve"> </w:t>
      </w:r>
      <w:r>
        <w:rPr>
          <w:rStyle w:val="VerbatimChar"/>
        </w:rPr>
        <w:t xml:space="preserve">Claim</w:t>
      </w:r>
      <w:r>
        <w:t xml:space="preserve"> </w:t>
      </w:r>
      <w:r>
        <w:t xml:space="preserve">to a different format (837P, the partner’s API, a CMS-1500 PDF) with a different response pipeline (3.7), and payer identifier systems differ. Keep one</w:t>
      </w:r>
      <w:r>
        <w:t xml:space="preserve"> </w:t>
      </w:r>
      <w:r>
        <w:rPr>
          <w:rStyle w:val="VerbatimChar"/>
        </w:rPr>
        <w:t xml:space="preserve">Claim</w:t>
      </w:r>
      <w:r>
        <w:t xml:space="preserve"> </w:t>
      </w:r>
      <w:r>
        <w:t xml:space="preserve">as the source of truth so the backend stays swappable.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1"/>
        </w:numPr>
        <w:pStyle w:val="Compact"/>
      </w:pPr>
      <w:r>
        <w:t xml:space="preserve">Are you billing as an organization or an individual provider?</w:t>
      </w:r>
    </w:p>
    <w:p>
      <w:pPr>
        <w:numPr>
          <w:ilvl w:val="0"/>
          <w:numId w:val="1011"/>
        </w:numPr>
        <w:pStyle w:val="Compact"/>
      </w:pPr>
      <w:r>
        <w:t xml:space="preserve">Which submission path(s), and does it vary by payer (electronic for most, paper/portal for some)?</w:t>
      </w:r>
    </w:p>
    <w:p>
      <w:pPr>
        <w:numPr>
          <w:ilvl w:val="0"/>
          <w:numId w:val="1011"/>
        </w:numPr>
        <w:pStyle w:val="Compact"/>
      </w:pPr>
      <w:r>
        <w:t xml:space="preserve">What validation must pass before submission, and where do failures surface?</w:t>
      </w:r>
    </w:p>
    <w:p>
      <w:pPr>
        <w:numPr>
          <w:ilvl w:val="0"/>
          <w:numId w:val="1011"/>
        </w:numPr>
        <w:pStyle w:val="Compact"/>
      </w:pPr>
      <w:r>
        <w:t xml:space="preserve">Do you submit secondary claims after the primary pays (coordination of benefits)?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449"/>
        <w:gridCol w:w="491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Build the claim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Claim</w:t>
            </w:r>
            <w:r>
              <w:t xml:space="preserve"> </w:t>
            </w:r>
            <w:r>
              <w:t xml:space="preserve">referencing the</w:t>
            </w:r>
            <w:r>
              <w:t xml:space="preserve"> </w:t>
            </w:r>
            <w:r>
              <w:rPr>
                <w:rStyle w:val="VerbatimChar"/>
              </w:rPr>
              <w:t xml:space="preserve">Coverage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Claim.insurance</w:t>
            </w:r>
            <w:r>
              <w:t xml:space="preserve">), charges (</w:t>
            </w:r>
            <w:r>
              <w:rPr>
                <w:rStyle w:val="VerbatimChar"/>
              </w:rPr>
              <w:t xml:space="preserve">Claim.item</w:t>
            </w:r>
            <w:r>
              <w:t xml:space="preserve">), and ICD-10 diagnoses (</w:t>
            </w:r>
            <w:r>
              <w:rPr>
                <w:rStyle w:val="VerbatimChar"/>
              </w:rPr>
              <w:t xml:space="preserve">Claim.diagnosis</w:t>
            </w:r>
            <w:r>
              <w:t xml:space="preserve">) with item-level pointers.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Billing provider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 on</w:t>
            </w:r>
            <w:r>
              <w:t xml:space="preserve"> </w:t>
            </w:r>
            <w:r>
              <w:rPr>
                <w:rStyle w:val="VerbatimChar"/>
              </w:rPr>
              <w:t xml:space="preserve">Claim.provider</w:t>
            </w:r>
            <w:r>
              <w:t xml:space="preserve">, but backends read it differently (billing provider vs. rendering provider with the billing</w:t>
            </w:r>
            <w:r>
              <w:t xml:space="preserve"> </w:t>
            </w:r>
            <w:r>
              <w:rPr>
                <w:rStyle w:val="VerbatimChar"/>
              </w:rPr>
              <w:t xml:space="preserve">Organization</w:t>
            </w:r>
            <w:r>
              <w:t xml:space="preserve"> </w:t>
            </w:r>
            <w:r>
              <w:t xml:space="preserve">via</w:t>
            </w:r>
            <w:r>
              <w:t xml:space="preserve"> </w:t>
            </w:r>
            <w:r>
              <w:rPr>
                <w:rStyle w:val="VerbatimChar"/>
              </w:rPr>
              <w:t xml:space="preserve">PractitionerRole</w:t>
            </w:r>
            <w:r>
              <w:t xml:space="preserve">); confirm per integration.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Electronic (you own the cycle)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clearinghouse submit operation sends an 837P and writes a correlation id back to the</w:t>
            </w:r>
            <w:r>
              <w:t xml:space="preserve"> </w:t>
            </w:r>
            <w:r>
              <w:rPr>
                <w:rStyle w:val="VerbatimChar"/>
              </w:rPr>
              <w:t xml:space="preserve">Claim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RCM 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partner’s submit operation returns a</w:t>
            </w:r>
            <w:r>
              <w:t xml:space="preserve"> </w:t>
            </w:r>
            <w:r>
              <w:rPr>
                <w:rStyle w:val="VerbatimChar"/>
              </w:rPr>
              <w:t xml:space="preserve">ClaimResponse</w:t>
            </w:r>
            <w:r>
              <w:t xml:space="preserve">; the partner owns scrubbing, denials, resubmission, and remittance on its platform, and billing tasks sync back into Medplum as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s (3.8).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Manual / paper / portal</w:t>
            </w:r>
          </w:p>
        </w:tc>
        <w:tc>
          <w:tcPr/>
          <w:p>
            <w:pPr>
              <w:pStyle w:val="Compact"/>
              <w:jc w:val="left"/>
            </w:pPr>
            <w:hyperlink r:id="rId37">
              <w:r>
                <w:rPr>
                  <w:rStyle w:val="VerbatimChar"/>
                </w:rPr>
                <w:t xml:space="preserve">Claim/$export</w:t>
              </w:r>
            </w:hyperlink>
            <w:r>
              <w:t xml:space="preserve"> </w:t>
            </w:r>
            <w:r>
              <w:t xml:space="preserve">generates a</w:t>
            </w:r>
            <w:r>
              <w:t xml:space="preserve"> </w:t>
            </w:r>
            <w:hyperlink r:id="rId38">
              <w:r>
                <w:rPr>
                  <w:rStyle w:val="Hyperlink"/>
                </w:rPr>
                <w:t xml:space="preserve">CMS-1500 PDF</w:t>
              </w:r>
            </w:hyperlink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Binary</w:t>
            </w:r>
            <w:r>
              <w:t xml:space="preserve">; experimental); log the outbound document.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Patient-submitted (out-of-network)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Generate a</w:t>
            </w:r>
            <w:r>
              <w:t xml:space="preserve"> </w:t>
            </w:r>
            <w:hyperlink r:id="rId39">
              <w:r>
                <w:rPr>
                  <w:rStyle w:val="Hyperlink"/>
                </w:rPr>
                <w:t xml:space="preserve">superbill</w:t>
              </w:r>
            </w:hyperlink>
            <w:r>
              <w:t xml:space="preserve"> </w:t>
            </w:r>
            <w:r>
              <w:t xml:space="preserve">for the patient to file.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Validation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Validate before submit; surface a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 </w:t>
            </w:r>
            <w:r>
              <w:t xml:space="preserve">and don’t transmit invalid claims. (In the current integration, a submission failure marks the</w:t>
            </w:r>
            <w:r>
              <w:t xml:space="preserve"> </w:t>
            </w:r>
            <w:r>
              <w:rPr>
                <w:rStyle w:val="VerbatimChar"/>
              </w:rPr>
              <w:t xml:space="preserve">Claim</w:t>
            </w:r>
            <w:r>
              <w:t xml:space="preserve"> </w:t>
            </w:r>
            <w:r>
              <w:rPr>
                <w:rStyle w:val="VerbatimChar"/>
              </w:rPr>
              <w:t xml:space="preserve">status = error</w:t>
            </w:r>
            <w:r>
              <w:t xml:space="preserve">.)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Multiple channels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rPr>
                <w:rStyle w:val="VerbatimChar"/>
              </w:rPr>
              <w:t xml:space="preserve">Claim</w:t>
            </w:r>
            <w:r>
              <w:t xml:space="preserve"> </w:t>
            </w:r>
            <w:r>
              <w:t xml:space="preserve">is the source of truth; run separate send paths per payer without diverging content.</w:t>
            </w:r>
          </w:p>
        </w:tc>
      </w:tr>
    </w:tbl>
    <w:bookmarkEnd w:id="40"/>
    <w:bookmarkStart w:id="41" w:name="payer-responses-remittance-posting"/>
    <w:p>
      <w:pPr>
        <w:pStyle w:val="Heading4"/>
      </w:pPr>
      <w:r>
        <w:t xml:space="preserve">3.7 Payer Responses &amp; Remittance Posting</w:t>
      </w:r>
    </w:p>
    <w:p>
      <w:pPr>
        <w:pStyle w:val="FirstParagraph"/>
      </w:pPr>
      <w:r>
        <w:t xml:space="preserve">Decide how you ingest what the payer sends back (the</w:t>
      </w:r>
      <w:r>
        <w:t xml:space="preserve"> </w:t>
      </w:r>
      <w:r>
        <w:rPr>
          <w:iCs/>
          <w:i/>
        </w:rPr>
        <w:t xml:space="preserve">277CA</w:t>
      </w:r>
      <w:r>
        <w:t xml:space="preserve"> </w:t>
      </w:r>
      <w:r>
        <w:t xml:space="preserve">acknowledgment, accepted or rejected pre-adjudication, and the</w:t>
      </w:r>
      <w:r>
        <w:t xml:space="preserve"> </w:t>
      </w:r>
      <w:r>
        <w:rPr>
          <w:iCs/>
          <w:i/>
        </w:rPr>
        <w:t xml:space="preserve">835 ERA</w:t>
      </w:r>
      <w:r>
        <w:t xml:space="preserve"> </w:t>
      </w:r>
      <w:r>
        <w:t xml:space="preserve">remittance, what was paid, adjusted, or denied line by line) and how payments post. These share one pipeline, so design them together.</w:t>
      </w:r>
    </w:p>
    <w:p>
      <w:pPr>
        <w:pStyle w:val="BodyText"/>
      </w:pPr>
      <w:r>
        <w:rPr>
          <w:iCs/>
          <w:i/>
        </w:rPr>
        <w:t xml:space="preserve">Note: applies to the clearinghouse path, and the row specifics reflect the current integration. With an RCM partner, the partner owns response handling and posting; what flows back is its billing</w:t>
      </w:r>
      <w:r>
        <w:rPr>
          <w:iCs/>
          <w:i/>
        </w:rPr>
        <w:t xml:space="preserve"> </w:t>
      </w:r>
      <w:r>
        <w:rPr>
          <w:rStyle w:val="VerbatimChar"/>
          <w:iCs/>
          <w:i/>
        </w:rPr>
        <w:t xml:space="preserve">Task</w:t>
      </w:r>
      <w:r>
        <w:rPr>
          <w:iCs/>
          <w:i/>
        </w:rPr>
        <w:t xml:space="preserve">s.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2"/>
        </w:numPr>
        <w:pStyle w:val="Compact"/>
      </w:pPr>
      <w:r>
        <w:t xml:space="preserve">How do responses arrive: webhook push, polling, or partner API?</w:t>
      </w:r>
    </w:p>
    <w:p>
      <w:pPr>
        <w:numPr>
          <w:ilvl w:val="0"/>
          <w:numId w:val="1012"/>
        </w:numPr>
        <w:pStyle w:val="Compact"/>
      </w:pPr>
      <w:r>
        <w:t xml:space="preserve">How do you match a response to the originating claim?</w:t>
      </w:r>
    </w:p>
    <w:p>
      <w:pPr>
        <w:numPr>
          <w:ilvl w:val="0"/>
          <w:numId w:val="1012"/>
        </w:numPr>
        <w:pStyle w:val="Compact"/>
      </w:pPr>
      <w:r>
        <w:t xml:space="preserve">How do payer payments and adjustments post to the account?</w:t>
      </w:r>
    </w:p>
    <w:p>
      <w:pPr>
        <w:numPr>
          <w:ilvl w:val="0"/>
          <w:numId w:val="1012"/>
        </w:numPr>
        <w:pStyle w:val="Compact"/>
      </w:pPr>
      <w:r>
        <w:t xml:space="preserve">What share posts automatically vs. needs review?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474"/>
        <w:gridCol w:w="5886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Ingestion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webhook bot (primary) plus an optional poller (catch-up). Make it idempotent on the payer’s inbound transaction id (not the webhook delivery id); webhooks redeliver, and without dedup you double-post payments.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Acknowledgment (277CA)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Persist as a</w:t>
            </w:r>
            <w:r>
              <w:t xml:space="preserve"> </w:t>
            </w:r>
            <w:r>
              <w:rPr>
                <w:rStyle w:val="VerbatimChar"/>
              </w:rPr>
              <w:t xml:space="preserve">ClaimResponse</w:t>
            </w:r>
            <w:r>
              <w:t xml:space="preserve">; surface front-end rejections to denials (3.8).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Remittance (835 ERA)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 a</w:t>
            </w:r>
            <w:r>
              <w:t xml:space="preserve"> </w:t>
            </w:r>
            <w:r>
              <w:rPr>
                <w:rStyle w:val="VerbatimChar"/>
              </w:rPr>
              <w:t xml:space="preserve">PaymentReconciliation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ClaimResponse</w:t>
            </w:r>
            <w:r>
              <w:t xml:space="preserve">; the ERA PDF is stored as a</w:t>
            </w:r>
            <w:r>
              <w:t xml:space="preserve"> </w:t>
            </w:r>
            <w:r>
              <w:rPr>
                <w:rStyle w:val="VerbatimChar"/>
              </w:rPr>
              <w:t xml:space="preserve">DocumentReference</w:t>
            </w:r>
            <w:r>
              <w:t xml:space="preserve">. Post payments/adjustments against the</w:t>
            </w:r>
            <w:r>
              <w:t xml:space="preserve"> </w:t>
            </w:r>
            <w:r>
              <w:rPr>
                <w:rStyle w:val="VerbatimChar"/>
              </w:rPr>
              <w:t xml:space="preserve">Account</w:t>
            </w:r>
            <w:r>
              <w:t xml:space="preserve"> </w:t>
            </w:r>
            <w:r>
              <w:t xml:space="preserve">(3.2).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Matching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Match on the patient-control-number (PCN) assigned at submission from the</w:t>
            </w:r>
            <w:r>
              <w:t xml:space="preserve"> </w:t>
            </w:r>
            <w:r>
              <w:rPr>
                <w:rStyle w:val="VerbatimChar"/>
              </w:rPr>
              <w:t xml:space="preserve">Claim</w:t>
            </w:r>
            <w:r>
              <w:t xml:space="preserve"> </w:t>
            </w:r>
            <w:r>
              <w:t xml:space="preserve">id (835), or the correlation id (277).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Claim 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Status lives on</w:t>
            </w:r>
            <w:r>
              <w:t xml:space="preserve"> </w:t>
            </w:r>
            <w:r>
              <w:rPr>
                <w:rStyle w:val="VerbatimChar"/>
              </w:rPr>
              <w:t xml:space="preserve">ClaimResponse</w:t>
            </w:r>
            <w:r>
              <w:t xml:space="preserve">; query</w:t>
            </w:r>
            <w:r>
              <w:t xml:space="preserve"> </w:t>
            </w:r>
            <w:r>
              <w:rPr>
                <w:rStyle w:val="VerbatimChar"/>
              </w:rPr>
              <w:t xml:space="preserve">ClaimResponse?request=Claim/{id}</w:t>
            </w:r>
            <w:r>
              <w:t xml:space="preserve"> </w:t>
            </w:r>
            <w:r>
              <w:t xml:space="preserve">(3.10).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Auto-post clean remittances; route mismatches to a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.</w:t>
            </w:r>
          </w:p>
        </w:tc>
      </w:tr>
    </w:tbl>
    <w:bookmarkEnd w:id="41"/>
    <w:bookmarkStart w:id="42" w:name="denials-rejections-resubmission"/>
    <w:p>
      <w:pPr>
        <w:pStyle w:val="Heading4"/>
      </w:pPr>
      <w:r>
        <w:t xml:space="preserve">3.8 Denials, Rejections &amp; Resubmission</w:t>
      </w:r>
    </w:p>
    <w:p>
      <w:pPr>
        <w:pStyle w:val="FirstParagraph"/>
      </w:pPr>
      <w:r>
        <w:t xml:space="preserve">Decide how you work claims the payer rejects or denies: correcting and resubmitting, or appealing.</w:t>
      </w:r>
    </w:p>
    <w:p>
      <w:pPr>
        <w:pStyle w:val="BodyText"/>
      </w:pPr>
      <w:r>
        <w:rPr>
          <w:iCs/>
          <w:i/>
        </w:rPr>
        <w:t xml:space="preserve">Note: The rows below are one FHIR approach to denial handling; validate against your workflow. On the clearinghouse path you build this in Medplum; with an RCM partner, denials are worked on the partner platform and surface back as synced</w:t>
      </w:r>
      <w:r>
        <w:rPr>
          <w:iCs/>
          <w:i/>
        </w:rPr>
        <w:t xml:space="preserve"> </w:t>
      </w:r>
      <w:r>
        <w:rPr>
          <w:rStyle w:val="VerbatimChar"/>
          <w:iCs/>
          <w:i/>
        </w:rPr>
        <w:t xml:space="preserve">Task</w:t>
      </w:r>
      <w:r>
        <w:rPr>
          <w:iCs/>
          <w:i/>
        </w:rPr>
        <w:t xml:space="preserve">s.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3"/>
        </w:numPr>
        <w:pStyle w:val="Compact"/>
      </w:pPr>
      <w:r>
        <w:t xml:space="preserve">Do you work front-end rejections (277CA) differently from adjudicated denials (835)?</w:t>
      </w:r>
    </w:p>
    <w:p>
      <w:pPr>
        <w:numPr>
          <w:ilvl w:val="0"/>
          <w:numId w:val="1013"/>
        </w:numPr>
        <w:pStyle w:val="Compact"/>
      </w:pPr>
      <w:r>
        <w:t xml:space="preserve">When you fix and resend, is it a corrected claim or a fresh submission?</w:t>
      </w:r>
    </w:p>
    <w:p>
      <w:pPr>
        <w:numPr>
          <w:ilvl w:val="0"/>
          <w:numId w:val="1013"/>
        </w:numPr>
        <w:pStyle w:val="Compact"/>
      </w:pPr>
      <w:r>
        <w:t xml:space="preserve">Do you track appeals (deadlines, supporting documentation, outcome)?</w:t>
      </w:r>
    </w:p>
    <w:p>
      <w:pPr>
        <w:numPr>
          <w:ilvl w:val="0"/>
          <w:numId w:val="1013"/>
        </w:numPr>
        <w:pStyle w:val="Compact"/>
      </w:pPr>
      <w:r>
        <w:t xml:space="preserve">How do staff find claims that need work?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2769"/>
        <w:gridCol w:w="659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Surface denials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Denial detail lives on the</w:t>
            </w:r>
            <w:r>
              <w:t xml:space="preserve"> </w:t>
            </w:r>
            <w:r>
              <w:rPr>
                <w:rStyle w:val="VerbatimChar"/>
              </w:rPr>
              <w:t xml:space="preserve">ClaimResponse</w:t>
            </w:r>
            <w:r>
              <w:t xml:space="preserve"> </w:t>
            </w:r>
            <w:r>
              <w:t xml:space="preserve">(3.7); create a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 </w:t>
            </w:r>
            <w:r>
              <w:t xml:space="preserve">work queue for the biller.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Corrected claim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Resubmit a corrected</w:t>
            </w:r>
            <w:r>
              <w:t xml:space="preserve"> </w:t>
            </w:r>
            <w:r>
              <w:rPr>
                <w:rStyle w:val="VerbatimChar"/>
              </w:rPr>
              <w:t xml:space="preserve">Claim</w:t>
            </w:r>
            <w:r>
              <w:t xml:space="preserve"> </w:t>
            </w:r>
            <w:r>
              <w:t xml:space="preserve">linked to the original (</w:t>
            </w:r>
            <w:r>
              <w:rPr>
                <w:rStyle w:val="VerbatimChar"/>
              </w:rPr>
              <w:t xml:space="preserve">Claim.related</w:t>
            </w:r>
            <w:r>
              <w:t xml:space="preserve">), via the same backend (3.6).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Appeals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as a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 </w:t>
            </w:r>
            <w:r>
              <w:t xml:space="preserve">with deadlines; attach supporting docs as</w:t>
            </w:r>
            <w:r>
              <w:t xml:space="preserve"> </w:t>
            </w:r>
            <w:r>
              <w:rPr>
                <w:rStyle w:val="VerbatimChar"/>
              </w:rPr>
              <w:t xml:space="preserve">DocumentReference</w:t>
            </w:r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Find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Search over open denial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s (3.10).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Partner-owned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RCM partner works denials/resubmission on its platform; surfaced tasks sync into Medplum as</w:t>
            </w:r>
            <w:r>
              <w:t xml:space="preserve"> </w:t>
            </w:r>
            <w:r>
              <w:rPr>
                <w:rStyle w:val="VerbatimChar"/>
              </w:rPr>
              <w:t xml:space="preserve">Task</w:t>
            </w:r>
            <w:r>
              <w:t xml:space="preserve">s.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2"/>
    <w:bookmarkEnd w:id="43"/>
    <w:bookmarkStart w:id="47" w:name="patient-operations"/>
    <w:p>
      <w:pPr>
        <w:pStyle w:val="Heading3"/>
      </w:pPr>
      <w:r>
        <w:t xml:space="preserve">Patient &amp; Operations</w:t>
      </w:r>
    </w:p>
    <w:bookmarkStart w:id="45" w:name="patient-responsibility-self-pay"/>
    <w:p>
      <w:pPr>
        <w:pStyle w:val="Heading4"/>
      </w:pPr>
      <w:r>
        <w:t xml:space="preserve">3.9 Patient Responsibility &amp; Self-Pay</w:t>
      </w:r>
    </w:p>
    <w:p>
      <w:pPr>
        <w:pStyle w:val="FirstParagraph"/>
      </w:pPr>
      <w:r>
        <w:t xml:space="preserve">Decide how you bill patients for their share (copays, coinsurance, deductibles, full self-pay) and how they pay.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4"/>
        </w:numPr>
        <w:pStyle w:val="Compact"/>
      </w:pPr>
      <w:r>
        <w:t xml:space="preserve">What balances do you bill: post-adjudication responsibility, self-pay, or both?</w:t>
      </w:r>
    </w:p>
    <w:p>
      <w:pPr>
        <w:numPr>
          <w:ilvl w:val="0"/>
          <w:numId w:val="1014"/>
        </w:numPr>
        <w:pStyle w:val="Compact"/>
      </w:pPr>
      <w:r>
        <w:t xml:space="preserve">Do you issue statements, and on what cadence?</w:t>
      </w:r>
    </w:p>
    <w:p>
      <w:pPr>
        <w:numPr>
          <w:ilvl w:val="0"/>
          <w:numId w:val="1014"/>
        </w:numPr>
        <w:pStyle w:val="Compact"/>
      </w:pPr>
      <w:r>
        <w:t xml:space="preserve">Do you take online payment / card on file, through which processor?</w:t>
      </w:r>
    </w:p>
    <w:p>
      <w:pPr>
        <w:numPr>
          <w:ilvl w:val="0"/>
          <w:numId w:val="1014"/>
        </w:numPr>
        <w:pStyle w:val="Compact"/>
      </w:pPr>
      <w:r>
        <w:t xml:space="preserve">For out-of-network patients, do you provide a superbill instead of billing the payer?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2769"/>
        <w:gridCol w:w="659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Patient balance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Invoice</w:t>
            </w:r>
            <w:r>
              <w:t xml:space="preserve"> </w:t>
            </w:r>
            <w:r>
              <w:t xml:space="preserve">for patient-owed amounts rolling to the</w:t>
            </w:r>
            <w:r>
              <w:t xml:space="preserve"> </w:t>
            </w:r>
            <w:r>
              <w:rPr>
                <w:rStyle w:val="VerbatimChar"/>
              </w:rPr>
              <w:t xml:space="preserve">Account</w:t>
            </w:r>
            <w:r>
              <w:t xml:space="preserve"> </w:t>
            </w:r>
            <w:r>
              <w:t xml:space="preserve">(3.2); responsibility from remittance (3.7) or self-pay pricing (3.5).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Online payment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Integrate a payment processor; a</w:t>
            </w:r>
            <w:r>
              <w:t xml:space="preserve"> </w:t>
            </w:r>
            <w:hyperlink r:id="rId44">
              <w:r>
                <w:rPr>
                  <w:rStyle w:val="Hyperlink"/>
                </w:rPr>
                <w:t xml:space="preserve">sample integration</w:t>
              </w:r>
            </w:hyperlink>
            <w:r>
              <w:t xml:space="preserve"> </w:t>
            </w:r>
            <w:r>
              <w:t xml:space="preserve">shows keeping invoices and payments in sync.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Self-pay / cash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 via</w:t>
            </w:r>
            <w:r>
              <w:t xml:space="preserve"> </w:t>
            </w:r>
            <w:r>
              <w:rPr>
                <w:rStyle w:val="VerbatimChar"/>
              </w:rPr>
              <w:t xml:space="preserve">ChargeItemDefinition</w:t>
            </w:r>
            <w:r>
              <w:t xml:space="preserve">/</w:t>
            </w:r>
            <w:r>
              <w:rPr>
                <w:rStyle w:val="VerbatimChar"/>
              </w:rPr>
              <w:t xml:space="preserve">$apply</w:t>
            </w:r>
            <w:r>
              <w:t xml:space="preserve"> </w:t>
            </w:r>
            <w:r>
              <w:t xml:space="preserve">(3.5); invoice the patient directly, no payer claim.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Out-of-network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 a superbill (3.6) for the patient to submit for reimbursement.</w:t>
            </w:r>
          </w:p>
        </w:tc>
      </w:tr>
    </w:tbl>
    <w:bookmarkEnd w:id="45"/>
    <w:bookmarkStart w:id="46" w:name="X049947f717209432e3ed0886946115a697797dd"/>
    <w:p>
      <w:pPr>
        <w:pStyle w:val="Heading4"/>
      </w:pPr>
      <w:r>
        <w:t xml:space="preserve">3.10 Accounts Receivable, Aging &amp; Lifecycle Status</w:t>
      </w:r>
    </w:p>
    <w:p>
      <w:pPr>
        <w:pStyle w:val="FirstParagraph"/>
      </w:pPr>
      <w:r>
        <w:t xml:space="preserve">Decide how you track where every claim and balance sits, and how staff find work that’s stuck or overdue.</w:t>
      </w:r>
    </w:p>
    <w:p>
      <w:pPr>
        <w:pStyle w:val="BodyText"/>
      </w:pPr>
      <w:r>
        <w:rPr>
          <w:iCs/>
          <w:i/>
        </w:rPr>
        <w:t xml:space="preserve">Note: The rows below are one FHIR approach to AR tracking; validate against your reporting needs. Most relevant on the clearinghouse path; an RCM partner owns AR and reporting.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5"/>
        </w:numPr>
        <w:pStyle w:val="Compact"/>
      </w:pPr>
      <w:r>
        <w:t xml:space="preserve">What lifecycle states matter (e.g. draft → submitted → accepted → paid → denied → closed)?</w:t>
      </w:r>
    </w:p>
    <w:p>
      <w:pPr>
        <w:numPr>
          <w:ilvl w:val="0"/>
          <w:numId w:val="1015"/>
        </w:numPr>
        <w:pStyle w:val="Compact"/>
      </w:pPr>
      <w:r>
        <w:t xml:space="preserve">How do you standardize states so queues, reports, and integrations agree?</w:t>
      </w:r>
    </w:p>
    <w:p>
      <w:pPr>
        <w:numPr>
          <w:ilvl w:val="0"/>
          <w:numId w:val="1015"/>
        </w:numPr>
        <w:pStyle w:val="Compact"/>
      </w:pPr>
      <w:r>
        <w:t xml:space="preserve">Do you track aging (days since submission, days pending) and AR buckets?</w:t>
      </w:r>
    </w:p>
    <w:p>
      <w:pPr>
        <w:numPr>
          <w:ilvl w:val="0"/>
          <w:numId w:val="1015"/>
        </w:numPr>
        <w:pStyle w:val="Compact"/>
      </w:pPr>
      <w:r>
        <w:t xml:space="preserve">How do staff find overdue or stuck claims and balances?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2880"/>
        <w:gridCol w:w="6480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Lifecycle states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progress with</w:t>
            </w:r>
            <w:r>
              <w:t xml:space="preserve"> </w:t>
            </w:r>
            <w:r>
              <w:rPr>
                <w:rStyle w:val="VerbatimChar"/>
              </w:rPr>
              <w:t xml:space="preserve">Task.businessStatus</w:t>
            </w:r>
            <w:r>
              <w:t xml:space="preserve">; move</w:t>
            </w:r>
            <w:r>
              <w:t xml:space="preserve"> </w:t>
            </w:r>
            <w:r>
              <w:rPr>
                <w:rStyle w:val="VerbatimChar"/>
              </w:rPr>
              <w:t xml:space="preserve">Task.status</w:t>
            </w:r>
            <w:r>
              <w:t xml:space="preserve"> </w:t>
            </w:r>
            <w:r>
              <w:t xml:space="preserve">on clear transitions. Keep the state set small and single-sourced.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External signals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Bot</w:t>
            </w:r>
            <w:r>
              <w:t xml:space="preserve">s/subscriptions advance status when responses arrive (3.7): accepted, paid, denied.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Aging &amp; 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Search over</w:t>
            </w:r>
            <w:r>
              <w:t xml:space="preserve"> </w:t>
            </w:r>
            <w:r>
              <w:rPr>
                <w:rStyle w:val="VerbatimChar"/>
              </w:rPr>
              <w:t xml:space="preserve">Claim.created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Task.lastModified</w:t>
            </w:r>
            <w:r>
              <w:t xml:space="preserve">, and</w:t>
            </w:r>
            <w:r>
              <w:t xml:space="preserve"> </w:t>
            </w:r>
            <w:r>
              <w:rPr>
                <w:rStyle w:val="VerbatimChar"/>
              </w:rPr>
              <w:t xml:space="preserve">Account</w:t>
            </w:r>
            <w:r>
              <w:t xml:space="preserve"> </w:t>
            </w:r>
            <w:r>
              <w:t xml:space="preserve">balances; bucket by age.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Overdue 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Scheduled</w:t>
            </w:r>
            <w:r>
              <w:t xml:space="preserve"> </w:t>
            </w:r>
            <w:r>
              <w:rPr>
                <w:rStyle w:val="VerbatimChar"/>
              </w:rPr>
              <w:t xml:space="preserve">Bot</w:t>
            </w:r>
            <w:r>
              <w:t xml:space="preserve">s or subscriptions flag items past an SLA into work queues.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6"/>
    <w:bookmarkEnd w:id="47"/>
    <w:bookmarkStart w:id="51" w:name="value-based"/>
    <w:p>
      <w:pPr>
        <w:pStyle w:val="Heading3"/>
      </w:pPr>
      <w:r>
        <w:t xml:space="preserve">Value-Based</w:t>
      </w:r>
    </w:p>
    <w:bookmarkStart w:id="50" w:name="value-based-capitation"/>
    <w:p>
      <w:pPr>
        <w:pStyle w:val="Heading4"/>
      </w:pPr>
      <w:r>
        <w:t xml:space="preserve">3.11 Value-Based &amp; Capitation</w:t>
      </w:r>
    </w:p>
    <w:p>
      <w:pPr>
        <w:pStyle w:val="FirstParagraph"/>
      </w:pPr>
      <w:r>
        <w:t xml:space="preserve">Value-based care isn’t a claims pipeline; it splits into measurement (quality, gaps in care) and money (capitation, risk, settlement). Read only for capitated or risk-based contracts.</w:t>
      </w:r>
    </w:p>
    <w:p>
      <w:pPr>
        <w:pStyle w:val="BodyText"/>
      </w:pPr>
      <w:r>
        <w:rPr>
          <w:iCs/>
          <w:i/>
        </w:rPr>
        <w:t xml:space="preserve">Note: Quality measurement uses documented operations; the financial rows are one FHIR approach to validate against your contracts. Quality/HEDIS reporting overlaps clinical analytics; see</w:t>
      </w:r>
      <w:r>
        <w:rPr>
          <w:iCs/>
          <w:i/>
        </w:rPr>
        <w:t xml:space="preserve"> </w:t>
      </w:r>
      <w:hyperlink r:id="rId48">
        <w:r>
          <w:rPr>
            <w:rStyle w:val="Hyperlink"/>
            <w:iCs/>
            <w:i/>
          </w:rPr>
          <w:t xml:space="preserve">Analytics</w:t>
        </w:r>
      </w:hyperlink>
      <w:r>
        <w:rPr>
          <w:iCs/>
          <w:i/>
        </w:rPr>
        <w:t xml:space="preserve">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6"/>
        </w:numPr>
        <w:pStyle w:val="Compact"/>
      </w:pPr>
      <w:r>
        <w:t xml:space="preserve">Which contracts are capitated or risk-based, and which members are attributed to you?</w:t>
      </w:r>
    </w:p>
    <w:p>
      <w:pPr>
        <w:numPr>
          <w:ilvl w:val="0"/>
          <w:numId w:val="1016"/>
        </w:numPr>
        <w:pStyle w:val="Compact"/>
      </w:pPr>
      <w:r>
        <w:t xml:space="preserve">Which quality measures (eCQM, HEDIS, stars) are you accountable for?</w:t>
      </w:r>
    </w:p>
    <w:p>
      <w:pPr>
        <w:numPr>
          <w:ilvl w:val="0"/>
          <w:numId w:val="1016"/>
        </w:numPr>
        <w:pStyle w:val="Compact"/>
      </w:pPr>
      <w:r>
        <w:t xml:space="preserve">Do you still submit claims or encounter data when capitated (for risk adjustment and measurement)?</w:t>
      </w:r>
    </w:p>
    <w:p>
      <w:pPr>
        <w:numPr>
          <w:ilvl w:val="0"/>
          <w:numId w:val="1016"/>
        </w:numPr>
        <w:pStyle w:val="Compact"/>
      </w:pPr>
      <w:r>
        <w:t xml:space="preserve">How are capitation payments and any shared-savings settlement reconciled?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156"/>
        <w:gridCol w:w="5204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Attribution / panel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Group</w:t>
            </w:r>
            <w:r>
              <w:t xml:space="preserve"> </w:t>
            </w:r>
            <w:r>
              <w:t xml:space="preserve">as the member roster; ingest the payer roster via a</w:t>
            </w:r>
            <w:r>
              <w:t xml:space="preserve"> </w:t>
            </w:r>
            <w:r>
              <w:rPr>
                <w:rStyle w:val="VerbatimChar"/>
              </w:rPr>
              <w:t xml:space="preserve">Bot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CareTeam</w:t>
            </w:r>
            <w:r>
              <w:t xml:space="preserve"> </w:t>
            </w:r>
            <w:r>
              <w:t xml:space="preserve">for accountable teams.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Quality measurement &amp; gaps in care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Measure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MeasureReport</w:t>
            </w:r>
            <w:r>
              <w:t xml:space="preserve"> </w:t>
            </w:r>
            <w:r>
              <w:t xml:space="preserve">via</w:t>
            </w:r>
            <w:r>
              <w:t xml:space="preserve"> </w:t>
            </w:r>
            <w:hyperlink r:id="rId49">
              <w:r>
                <w:rPr>
                  <w:rStyle w:val="VerbatimChar"/>
                </w:rPr>
                <w:t xml:space="preserve">Measure/$evaluate-measure</w:t>
              </w:r>
            </w:hyperlink>
            <w:r>
              <w:t xml:space="preserve">; eCQM and HEDIS via</w:t>
            </w:r>
            <w:r>
              <w:t xml:space="preserve"> </w:t>
            </w:r>
            <w:hyperlink r:id="rId48">
              <w:r>
                <w:rPr>
                  <w:rStyle w:val="Hyperlink"/>
                </w:rPr>
                <w:t xml:space="preserve">Analytics</w:t>
              </w:r>
            </w:hyperlink>
            <w:r>
              <w:t xml:space="preserve">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Risk adjustment (HCC / RAF)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</w:t>
            </w:r>
            <w:r>
              <w:t xml:space="preserve"> </w:t>
            </w:r>
            <w:r>
              <w:rPr>
                <w:rStyle w:val="VerbatimChar"/>
              </w:rPr>
              <w:t xml:space="preserve">Condition</w:t>
            </w:r>
            <w:r>
              <w:t xml:space="preserve"> </w:t>
            </w:r>
            <w:r>
              <w:t xml:space="preserve">coding from encounters and submit as encounter data; ties to coding (3.5).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Encounter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Even when capitated, reuse claim assembly (3.6) to send 837/encounter data for measurement and risk.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Payments (PMPM, settlement)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Model received capitation and shared-savings settlement as</w:t>
            </w:r>
            <w:r>
              <w:t xml:space="preserve"> </w:t>
            </w:r>
            <w:r>
              <w:rPr>
                <w:rStyle w:val="VerbatimChar"/>
              </w:rPr>
              <w:t xml:space="preserve">PaymentReconciliation</w:t>
            </w:r>
            <w:r>
              <w:t xml:space="preserve"> </w:t>
            </w:r>
            <w:r>
              <w:t xml:space="preserve">against the</w:t>
            </w:r>
            <w:r>
              <w:t xml:space="preserve"> </w:t>
            </w:r>
            <w:r>
              <w:rPr>
                <w:rStyle w:val="VerbatimChar"/>
              </w:rPr>
              <w:t xml:space="preserve">Account</w:t>
            </w:r>
            <w:r>
              <w:t xml:space="preserve"> </w:t>
            </w:r>
            <w:r>
              <w:t xml:space="preserve">(3.2).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0"/>
    <w:bookmarkEnd w:id="51"/>
    <w:bookmarkEnd w:id="52"/>
    <w:bookmarkStart w:id="58" w:name="related-integrations"/>
    <w:p>
      <w:pPr>
        <w:pStyle w:val="Heading2"/>
      </w:pPr>
      <w:r>
        <w:t xml:space="preserve">Related Integrations</w:t>
      </w:r>
    </w:p>
    <w:p>
      <w:pPr>
        <w:pStyle w:val="FirstParagraph"/>
      </w:pPr>
      <w:r>
        <w:t xml:space="preserve">The billing and revenue-cycle partners Medplum integrates with first-party:</w:t>
      </w:r>
    </w:p>
    <w:p>
      <w:pPr>
        <w:numPr>
          <w:ilvl w:val="0"/>
          <w:numId w:val="1017"/>
        </w:numPr>
        <w:pStyle w:val="Compact"/>
      </w:pPr>
      <w:hyperlink r:id="rId53">
        <w:r>
          <w:rPr>
            <w:rStyle w:val="Hyperlink"/>
            <w:bCs/>
            <w:b/>
          </w:rPr>
          <w:t xml:space="preserve">Stedi</w:t>
        </w:r>
      </w:hyperlink>
      <w:r>
        <w:t xml:space="preserve"> </w:t>
      </w:r>
      <w:r>
        <w:t xml:space="preserve">— X12</w:t>
      </w:r>
      <w:r>
        <w:t xml:space="preserve"> </w:t>
      </w:r>
      <w:hyperlink r:id="rId54">
        <w:r>
          <w:rPr>
            <w:rStyle w:val="Hyperlink"/>
          </w:rPr>
          <w:t xml:space="preserve">eligibility checks</w:t>
        </w:r>
      </w:hyperlink>
      <w:r>
        <w:t xml:space="preserve"> </w:t>
      </w:r>
      <w:r>
        <w:t xml:space="preserve">(270/271) and</w:t>
      </w:r>
      <w:r>
        <w:t xml:space="preserve"> </w:t>
      </w:r>
      <w:hyperlink r:id="rId55">
        <w:r>
          <w:rPr>
            <w:rStyle w:val="Hyperlink"/>
          </w:rPr>
          <w:t xml:space="preserve">professional claim submission</w:t>
        </w:r>
      </w:hyperlink>
      <w:r>
        <w:t xml:space="preserve"> </w:t>
      </w:r>
      <w:r>
        <w:t xml:space="preserve">(837P) with</w:t>
      </w:r>
      <w:r>
        <w:t xml:space="preserve"> </w:t>
      </w:r>
      <w:hyperlink r:id="rId56">
        <w:r>
          <w:rPr>
            <w:rStyle w:val="Hyperlink"/>
          </w:rPr>
          <w:t xml:space="preserve">claim responses</w:t>
        </w:r>
      </w:hyperlink>
      <w:r>
        <w:t xml:space="preserve">.</w:t>
      </w:r>
    </w:p>
    <w:p>
      <w:pPr>
        <w:numPr>
          <w:ilvl w:val="0"/>
          <w:numId w:val="1017"/>
        </w:numPr>
        <w:pStyle w:val="Compact"/>
      </w:pPr>
      <w:hyperlink r:id="rId57">
        <w:r>
          <w:rPr>
            <w:rStyle w:val="Hyperlink"/>
            <w:bCs/>
            <w:b/>
          </w:rPr>
          <w:t xml:space="preserve">Candid Health</w:t>
        </w:r>
      </w:hyperlink>
      <w:r>
        <w:t xml:space="preserve"> </w:t>
      </w:r>
      <w:r>
        <w:t xml:space="preserve">— revenue cycle automation and professional claim submission from FHIR</w:t>
      </w:r>
      <w:r>
        <w:t xml:space="preserve"> </w:t>
      </w:r>
      <w:r>
        <w:rPr>
          <w:rStyle w:val="VerbatimChar"/>
        </w:rPr>
        <w:t xml:space="preserve">Claim</w:t>
      </w:r>
      <w:r>
        <w:t xml:space="preserve"> </w:t>
      </w:r>
      <w:r>
        <w:t xml:space="preserve">resources.</w:t>
      </w:r>
    </w:p>
    <w:bookmarkEnd w:id="58"/>
    <w:bookmarkEnd w:id="59"/>
    <w:sectPr>
      <w:pgSz w:h="15840" w:w="12240"/>
      <w:pgMar w:bottom="1440" w:footer="720" w:gutter="0" w:header="720" w:left="1440" w:right="1440" w:top="1440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oppins" w:cs="Poppins" w:eastAsia="Poppins" w:hAnsi="Poppins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="Poppins" w:cs="Poppins" w:eastAsia="Poppins" w:hAnsi="Poppins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="Poppins" w:cs="Poppins" w:eastAsia="Poppins" w:hAnsi="Poppins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="Poppins" w:cs="Poppins" w:eastAsia="Poppins" w:hAnsi="Poppins"/>
      <w:color w:val="9C36B5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="Poppins" w:cs="Poppins" w:eastAsia="Poppins" w:hAnsi="Poppins"/>
      <w:color w:val="9C36B5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val="9C36B5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val="9C36B5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9C36B5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="Poppins" w:cs="Poppins" w:eastAsia="Poppins" w:hAnsi="Poppins"/>
      <w:color w:val="9C36B5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="Poppins" w:cs="Poppins" w:eastAsia="Poppins" w:hAnsi="Poppins"/>
      <w:color w:val="9C36B5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9C36B5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9C36B5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9C36B5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qFormat/>
    <w:tblPr>
      <w:tblInd w:type="dxa" w:w="0"/>
      <w:tblBorders>
        <w:top w:color="D9C9E8" w:space="0" w:sz="4" w:val="single"/>
        <w:left w:color="D9C9E8" w:space="0" w:sz="4" w:val="single"/>
        <w:bottom w:color="D9C9E8" w:space="0" w:sz="4" w:val="single"/>
        <w:right w:color="D9C9E8" w:space="0" w:sz="4" w:val="single"/>
        <w:insideH w:color="D9C9E8" w:space="0" w:sz="4" w:val="single"/>
        <w:insideV w:color="D9C9E8" w:space="0" w:sz="4" w:val="single"/>
      </w:tblBorders>
      <w:tblCellMar>
        <w:top w:type="dxa" w:w="60"/>
        <w:left w:type="dxa" w:w="108"/>
        <w:bottom w:type="dxa" w:w="60"/>
        <w:right w:type="dxa" w:w="108"/>
      </w:tblCellMar>
    </w:tblPr>
    <w:tblStylePr w:type="firstRow">
      <w:rPr>
        <w:b/>
        <w:color w:val="402C6E"/>
      </w:rPr>
      <w:tcPr>
        <w:shd w:color="auto" w:fill="EFE3F8" w:val="clear"/>
        <w:vAlign w:val="center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9C36B5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Poppins" w:cs="Poppins" w:eastAsia="Poppins" w:hAnsi="Poppins"/>
      <w:b w:val="0"/>
      <w:bCs w:val="0"/>
      <w:color w:val="9C36B5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48" Target="/docs/analytics" TargetMode="External" /><Relationship Type="http://schemas.openxmlformats.org/officeDocument/2006/relationships/hyperlink" Id="rId35" Target="/docs/api/fhir/operations/chargeitemdefinition-apply" TargetMode="External" /><Relationship Type="http://schemas.openxmlformats.org/officeDocument/2006/relationships/hyperlink" Id="rId37" Target="/docs/api/fhir/operations/claim-export" TargetMode="External" /><Relationship Type="http://schemas.openxmlformats.org/officeDocument/2006/relationships/hyperlink" Id="rId49" Target="/docs/api/fhir/operations/evaluate-measure" TargetMode="External" /><Relationship Type="http://schemas.openxmlformats.org/officeDocument/2006/relationships/hyperlink" Id="rId23" Target="/docs/billing" TargetMode="External" /><Relationship Type="http://schemas.openxmlformats.org/officeDocument/2006/relationships/hyperlink" Id="rId44" Target="/docs/billing#sample-integrations" TargetMode="External" /><Relationship Type="http://schemas.openxmlformats.org/officeDocument/2006/relationships/hyperlink" Id="rId38" Target="/docs/billing/creating-cms1500" TargetMode="External" /><Relationship Type="http://schemas.openxmlformats.org/officeDocument/2006/relationships/hyperlink" Id="rId39" Target="/docs/billing/creating-superbills" TargetMode="External" /><Relationship Type="http://schemas.openxmlformats.org/officeDocument/2006/relationships/hyperlink" Id="rId30" Target="/docs/billing/insurance-eligibility-checks" TargetMode="External" /><Relationship Type="http://schemas.openxmlformats.org/officeDocument/2006/relationships/hyperlink" Id="rId26" Target="/docs/billing/patient-insurance" TargetMode="External" /><Relationship Type="http://schemas.openxmlformats.org/officeDocument/2006/relationships/hyperlink" Id="rId57" Target="/docs/integration/candid" TargetMode="External" /><Relationship Type="http://schemas.openxmlformats.org/officeDocument/2006/relationships/hyperlink" Id="rId32" Target="/docs/integration/electronic-prior-auth" TargetMode="External" /><Relationship Type="http://schemas.openxmlformats.org/officeDocument/2006/relationships/hyperlink" Id="rId53" Target="/docs/integration/stedi" TargetMode="External" /><Relationship Type="http://schemas.openxmlformats.org/officeDocument/2006/relationships/hyperlink" Id="rId56" Target="/docs/integration/stedi/claim-submission/claim-responses" TargetMode="External" /><Relationship Type="http://schemas.openxmlformats.org/officeDocument/2006/relationships/hyperlink" Id="rId55" Target="/docs/integration/stedi/claim-submission/professional-claims" TargetMode="External" /><Relationship Type="http://schemas.openxmlformats.org/officeDocument/2006/relationships/hyperlink" Id="rId54" Target="/docs/integration/stedi/insurance-eligibility/eligibility-chec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8" Target="/docs/analytics" TargetMode="External" /><Relationship Type="http://schemas.openxmlformats.org/officeDocument/2006/relationships/hyperlink" Id="rId35" Target="/docs/api/fhir/operations/chargeitemdefinition-apply" TargetMode="External" /><Relationship Type="http://schemas.openxmlformats.org/officeDocument/2006/relationships/hyperlink" Id="rId37" Target="/docs/api/fhir/operations/claim-export" TargetMode="External" /><Relationship Type="http://schemas.openxmlformats.org/officeDocument/2006/relationships/hyperlink" Id="rId49" Target="/docs/api/fhir/operations/evaluate-measure" TargetMode="External" /><Relationship Type="http://schemas.openxmlformats.org/officeDocument/2006/relationships/hyperlink" Id="rId23" Target="/docs/billing" TargetMode="External" /><Relationship Type="http://schemas.openxmlformats.org/officeDocument/2006/relationships/hyperlink" Id="rId44" Target="/docs/billing#sample-integrations" TargetMode="External" /><Relationship Type="http://schemas.openxmlformats.org/officeDocument/2006/relationships/hyperlink" Id="rId38" Target="/docs/billing/creating-cms1500" TargetMode="External" /><Relationship Type="http://schemas.openxmlformats.org/officeDocument/2006/relationships/hyperlink" Id="rId39" Target="/docs/billing/creating-superbills" TargetMode="External" /><Relationship Type="http://schemas.openxmlformats.org/officeDocument/2006/relationships/hyperlink" Id="rId30" Target="/docs/billing/insurance-eligibility-checks" TargetMode="External" /><Relationship Type="http://schemas.openxmlformats.org/officeDocument/2006/relationships/hyperlink" Id="rId26" Target="/docs/billing/patient-insurance" TargetMode="External" /><Relationship Type="http://schemas.openxmlformats.org/officeDocument/2006/relationships/hyperlink" Id="rId57" Target="/docs/integration/candid" TargetMode="External" /><Relationship Type="http://schemas.openxmlformats.org/officeDocument/2006/relationships/hyperlink" Id="rId32" Target="/docs/integration/electronic-prior-auth" TargetMode="External" /><Relationship Type="http://schemas.openxmlformats.org/officeDocument/2006/relationships/hyperlink" Id="rId53" Target="/docs/integration/stedi" TargetMode="External" /><Relationship Type="http://schemas.openxmlformats.org/officeDocument/2006/relationships/hyperlink" Id="rId56" Target="/docs/integration/stedi/claim-submission/claim-responses" TargetMode="External" /><Relationship Type="http://schemas.openxmlformats.org/officeDocument/2006/relationships/hyperlink" Id="rId55" Target="/docs/integration/stedi/claim-submission/professional-claims" TargetMode="External" /><Relationship Type="http://schemas.openxmlformats.org/officeDocument/2006/relationships/hyperlink" Id="rId54" Target="/docs/integration/stedi/insurance-eligibility/eligibility-chec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